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8BA4" w14:textId="20FF57D5" w:rsidR="00D1519D" w:rsidRPr="004542A4" w:rsidRDefault="00C131AD" w:rsidP="00FE33DE">
      <w:pPr>
        <w:widowControl w:val="0"/>
        <w:ind w:left="10206"/>
        <w:jc w:val="center"/>
        <w:rPr>
          <w:szCs w:val="24"/>
        </w:rPr>
      </w:pPr>
      <w:r w:rsidRPr="004542A4">
        <w:rPr>
          <w:szCs w:val="24"/>
        </w:rPr>
        <w:t>Приложение № 1</w:t>
      </w:r>
    </w:p>
    <w:p w14:paraId="06000000" w14:textId="1ADF3612" w:rsidR="0052416F" w:rsidRDefault="00C131AD" w:rsidP="00451019">
      <w:pPr>
        <w:widowControl w:val="0"/>
        <w:ind w:left="10206"/>
        <w:jc w:val="center"/>
        <w:rPr>
          <w:szCs w:val="24"/>
        </w:rPr>
      </w:pPr>
      <w:r w:rsidRPr="004542A4">
        <w:rPr>
          <w:szCs w:val="24"/>
        </w:rPr>
        <w:t>к извещени</w:t>
      </w:r>
      <w:r w:rsidR="008831B7" w:rsidRPr="004542A4">
        <w:rPr>
          <w:szCs w:val="24"/>
        </w:rPr>
        <w:t>ю</w:t>
      </w:r>
    </w:p>
    <w:p w14:paraId="06DD5E35" w14:textId="77777777" w:rsidR="005B6726" w:rsidRPr="004542A4" w:rsidRDefault="005B6726" w:rsidP="00451019">
      <w:pPr>
        <w:widowControl w:val="0"/>
        <w:ind w:left="10206"/>
        <w:jc w:val="center"/>
        <w:rPr>
          <w:b/>
          <w:szCs w:val="24"/>
        </w:rPr>
      </w:pPr>
    </w:p>
    <w:p w14:paraId="0F6B1016" w14:textId="77777777" w:rsidR="0035377F" w:rsidRPr="0035377F" w:rsidRDefault="0035377F" w:rsidP="0035377F">
      <w:pPr>
        <w:keepLines/>
        <w:widowControl w:val="0"/>
        <w:jc w:val="center"/>
        <w:rPr>
          <w:b/>
          <w:szCs w:val="24"/>
        </w:rPr>
      </w:pPr>
      <w:r w:rsidRPr="0035377F">
        <w:rPr>
          <w:b/>
          <w:szCs w:val="24"/>
        </w:rPr>
        <w:t>Техническое задание (описание объекта закупки и условия исполнения государственного контракта)</w:t>
      </w:r>
    </w:p>
    <w:p w14:paraId="1954DF35" w14:textId="77777777" w:rsidR="0035377F" w:rsidRPr="0035377F" w:rsidRDefault="0035377F" w:rsidP="0035377F">
      <w:pPr>
        <w:keepLines/>
        <w:widowControl w:val="0"/>
        <w:jc w:val="center"/>
        <w:rPr>
          <w:b/>
          <w:szCs w:val="24"/>
        </w:rPr>
      </w:pPr>
    </w:p>
    <w:p w14:paraId="6803A51B" w14:textId="4629522F" w:rsidR="0035377F" w:rsidRPr="0035377F" w:rsidRDefault="00AE6D80" w:rsidP="0035377F">
      <w:pPr>
        <w:keepLines/>
        <w:widowControl w:val="0"/>
        <w:autoSpaceDE w:val="0"/>
        <w:autoSpaceDN w:val="0"/>
        <w:adjustRightInd w:val="0"/>
        <w:jc w:val="center"/>
        <w:rPr>
          <w:b/>
          <w:color w:val="auto"/>
          <w:szCs w:val="24"/>
          <w:lang w:eastAsia="en-US"/>
        </w:rPr>
      </w:pPr>
      <w:r>
        <w:rPr>
          <w:b/>
          <w:color w:val="auto"/>
          <w:szCs w:val="24"/>
          <w:lang w:eastAsia="en-US"/>
        </w:rPr>
        <w:t>Поставка наборов-</w:t>
      </w:r>
      <w:r w:rsidR="0035377F" w:rsidRPr="0035377F">
        <w:rPr>
          <w:b/>
          <w:color w:val="auto"/>
          <w:szCs w:val="24"/>
          <w:lang w:eastAsia="en-US"/>
        </w:rPr>
        <w:t>мочеприемников для самокатетеризации: мешок - мочеприемник, катетер лубрицированный для самокатетеризации</w:t>
      </w:r>
    </w:p>
    <w:tbl>
      <w:tblPr>
        <w:tblStyle w:val="47"/>
        <w:tblW w:w="5000" w:type="pct"/>
        <w:jc w:val="center"/>
        <w:tblLook w:val="04A0" w:firstRow="1" w:lastRow="0" w:firstColumn="1" w:lastColumn="0" w:noHBand="0" w:noVBand="1"/>
      </w:tblPr>
      <w:tblGrid>
        <w:gridCol w:w="548"/>
        <w:gridCol w:w="2076"/>
        <w:gridCol w:w="7386"/>
        <w:gridCol w:w="1149"/>
        <w:gridCol w:w="1074"/>
        <w:gridCol w:w="1110"/>
        <w:gridCol w:w="1615"/>
      </w:tblGrid>
      <w:tr w:rsidR="0035377F" w:rsidRPr="0035377F" w14:paraId="0226CF13" w14:textId="77777777" w:rsidTr="00B46EF5">
        <w:trPr>
          <w:jc w:val="center"/>
        </w:trPr>
        <w:tc>
          <w:tcPr>
            <w:tcW w:w="183" w:type="pct"/>
          </w:tcPr>
          <w:p w14:paraId="6EE1E721" w14:textId="77777777" w:rsidR="0035377F" w:rsidRPr="0035377F" w:rsidRDefault="0035377F" w:rsidP="0035377F">
            <w:pPr>
              <w:keepLines/>
              <w:rPr>
                <w:szCs w:val="24"/>
              </w:rPr>
            </w:pPr>
            <w:r w:rsidRPr="0035377F">
              <w:rPr>
                <w:szCs w:val="24"/>
              </w:rPr>
              <w:t>№ п/п</w:t>
            </w:r>
          </w:p>
        </w:tc>
        <w:tc>
          <w:tcPr>
            <w:tcW w:w="694" w:type="pct"/>
          </w:tcPr>
          <w:p w14:paraId="6B6CD386" w14:textId="77777777" w:rsidR="0035377F" w:rsidRPr="0035377F" w:rsidRDefault="0035377F" w:rsidP="0035377F">
            <w:pPr>
              <w:keepLines/>
              <w:rPr>
                <w:szCs w:val="24"/>
              </w:rPr>
            </w:pPr>
            <w:r w:rsidRPr="0035377F">
              <w:rPr>
                <w:szCs w:val="24"/>
              </w:rPr>
              <w:t>Наименование товара, работ, услуг</w:t>
            </w:r>
          </w:p>
        </w:tc>
        <w:tc>
          <w:tcPr>
            <w:tcW w:w="2469" w:type="pct"/>
          </w:tcPr>
          <w:p w14:paraId="48FBA34E" w14:textId="77777777" w:rsidR="0035377F" w:rsidRPr="0035377F" w:rsidRDefault="0035377F" w:rsidP="0035377F">
            <w:pPr>
              <w:keepLines/>
              <w:rPr>
                <w:szCs w:val="24"/>
              </w:rPr>
            </w:pPr>
            <w:r w:rsidRPr="0035377F">
              <w:rPr>
                <w:szCs w:val="24"/>
              </w:rPr>
              <w:t>Описание объекта закупки</w:t>
            </w:r>
          </w:p>
        </w:tc>
        <w:tc>
          <w:tcPr>
            <w:tcW w:w="384" w:type="pct"/>
          </w:tcPr>
          <w:p w14:paraId="78B4C944" w14:textId="77777777" w:rsidR="0035377F" w:rsidRPr="0035377F" w:rsidRDefault="0035377F" w:rsidP="0035377F">
            <w:pPr>
              <w:keepLines/>
              <w:jc w:val="center"/>
              <w:rPr>
                <w:szCs w:val="24"/>
              </w:rPr>
            </w:pPr>
            <w:r w:rsidRPr="0035377F">
              <w:rPr>
                <w:szCs w:val="24"/>
              </w:rPr>
              <w:t>Ед. изм.</w:t>
            </w:r>
          </w:p>
        </w:tc>
        <w:tc>
          <w:tcPr>
            <w:tcW w:w="359" w:type="pct"/>
          </w:tcPr>
          <w:p w14:paraId="4A9A1F0D" w14:textId="77777777" w:rsidR="0035377F" w:rsidRPr="0035377F" w:rsidRDefault="0035377F" w:rsidP="0035377F">
            <w:pPr>
              <w:keepLines/>
              <w:jc w:val="center"/>
              <w:rPr>
                <w:szCs w:val="24"/>
              </w:rPr>
            </w:pPr>
            <w:r w:rsidRPr="0035377F">
              <w:rPr>
                <w:szCs w:val="24"/>
              </w:rPr>
              <w:t>Кол-во</w:t>
            </w:r>
          </w:p>
        </w:tc>
        <w:tc>
          <w:tcPr>
            <w:tcW w:w="371" w:type="pct"/>
          </w:tcPr>
          <w:p w14:paraId="15A61E8D" w14:textId="77777777" w:rsidR="0035377F" w:rsidRPr="0035377F" w:rsidRDefault="0035377F" w:rsidP="0035377F">
            <w:pPr>
              <w:keepLines/>
              <w:jc w:val="center"/>
              <w:rPr>
                <w:szCs w:val="24"/>
              </w:rPr>
            </w:pPr>
            <w:r w:rsidRPr="0035377F">
              <w:rPr>
                <w:szCs w:val="24"/>
              </w:rPr>
              <w:t>Цена за ед. изм.</w:t>
            </w:r>
            <w:r w:rsidRPr="0035377F">
              <w:rPr>
                <w:szCs w:val="24"/>
                <w:vertAlign w:val="superscript"/>
              </w:rPr>
              <w:footnoteReference w:id="1"/>
            </w:r>
            <w:r w:rsidRPr="0035377F">
              <w:rPr>
                <w:szCs w:val="24"/>
              </w:rPr>
              <w:t>, руб.</w:t>
            </w:r>
          </w:p>
        </w:tc>
        <w:tc>
          <w:tcPr>
            <w:tcW w:w="542" w:type="pct"/>
          </w:tcPr>
          <w:p w14:paraId="20EEBF1F" w14:textId="77777777" w:rsidR="0035377F" w:rsidRPr="0035377F" w:rsidRDefault="0035377F" w:rsidP="0035377F">
            <w:pPr>
              <w:keepLines/>
              <w:jc w:val="center"/>
              <w:rPr>
                <w:szCs w:val="24"/>
              </w:rPr>
            </w:pPr>
            <w:r w:rsidRPr="0035377F">
              <w:rPr>
                <w:szCs w:val="24"/>
              </w:rPr>
              <w:t>Цена по позиции</w:t>
            </w:r>
            <w:r w:rsidRPr="0035377F">
              <w:rPr>
                <w:szCs w:val="24"/>
                <w:vertAlign w:val="superscript"/>
              </w:rPr>
              <w:footnoteReference w:id="2"/>
            </w:r>
            <w:r w:rsidRPr="0035377F">
              <w:rPr>
                <w:szCs w:val="24"/>
              </w:rPr>
              <w:t>, руб.</w:t>
            </w:r>
          </w:p>
        </w:tc>
      </w:tr>
      <w:tr w:rsidR="0035377F" w:rsidRPr="0035377F" w14:paraId="6BC899E7" w14:textId="77777777" w:rsidTr="00B46EF5">
        <w:trPr>
          <w:trHeight w:val="2724"/>
          <w:jc w:val="center"/>
        </w:trPr>
        <w:tc>
          <w:tcPr>
            <w:tcW w:w="183" w:type="pct"/>
            <w:tcBorders>
              <w:bottom w:val="single" w:sz="4" w:space="0" w:color="auto"/>
            </w:tcBorders>
            <w:shd w:val="clear" w:color="auto" w:fill="FFFFFF" w:themeFill="background1"/>
          </w:tcPr>
          <w:p w14:paraId="25E2B1F8" w14:textId="77777777" w:rsidR="0035377F" w:rsidRPr="0035377F" w:rsidRDefault="0035377F" w:rsidP="0035377F">
            <w:pPr>
              <w:keepLines/>
              <w:rPr>
                <w:szCs w:val="24"/>
              </w:rPr>
            </w:pPr>
            <w:r w:rsidRPr="0035377F">
              <w:rPr>
                <w:szCs w:val="24"/>
              </w:rPr>
              <w:t>1</w:t>
            </w:r>
          </w:p>
        </w:tc>
        <w:tc>
          <w:tcPr>
            <w:tcW w:w="694" w:type="pct"/>
            <w:tcBorders>
              <w:bottom w:val="single" w:sz="4" w:space="0" w:color="auto"/>
              <w:right w:val="single" w:sz="4" w:space="0" w:color="auto"/>
            </w:tcBorders>
            <w:shd w:val="clear" w:color="auto" w:fill="FFFFFF" w:themeFill="background1"/>
          </w:tcPr>
          <w:p w14:paraId="04D23511" w14:textId="77777777" w:rsidR="0035377F" w:rsidRPr="0035377F" w:rsidRDefault="0035377F" w:rsidP="0035377F">
            <w:pPr>
              <w:rPr>
                <w:szCs w:val="24"/>
              </w:rPr>
            </w:pPr>
            <w:r w:rsidRPr="0035377F">
              <w:rPr>
                <w:szCs w:val="24"/>
                <w:lang w:eastAsia="ar-SA"/>
              </w:rPr>
              <w:t>Набор для однократной катетеризации уретры для самостоятельного применения, одноразового использования</w:t>
            </w:r>
          </w:p>
        </w:tc>
        <w:tc>
          <w:tcPr>
            <w:tcW w:w="2469" w:type="pct"/>
            <w:tcBorders>
              <w:top w:val="single" w:sz="4" w:space="0" w:color="auto"/>
              <w:left w:val="nil"/>
              <w:bottom w:val="single" w:sz="4" w:space="0" w:color="auto"/>
              <w:right w:val="single" w:sz="4" w:space="0" w:color="auto"/>
            </w:tcBorders>
            <w:shd w:val="clear" w:color="auto" w:fill="auto"/>
          </w:tcPr>
          <w:p w14:paraId="0F4A799D" w14:textId="77777777" w:rsidR="0035377F" w:rsidRPr="0035377F" w:rsidRDefault="0035377F" w:rsidP="0035377F">
            <w:pPr>
              <w:jc w:val="both"/>
              <w:rPr>
                <w:szCs w:val="24"/>
              </w:rPr>
            </w:pPr>
            <w:r w:rsidRPr="0035377F">
              <w:rPr>
                <w:szCs w:val="24"/>
              </w:rPr>
              <w:t>Наборы - мочеприемники для самокатетеризации: мешок - мочеприемник, катетер лубрицированный для самокатетеризации</w:t>
            </w:r>
          </w:p>
          <w:p w14:paraId="3728247F" w14:textId="77777777" w:rsidR="0035377F" w:rsidRPr="0035377F" w:rsidRDefault="0035377F" w:rsidP="0035377F">
            <w:pPr>
              <w:jc w:val="both"/>
              <w:rPr>
                <w:szCs w:val="24"/>
              </w:rPr>
            </w:pPr>
            <w:r w:rsidRPr="0035377F">
              <w:rPr>
                <w:szCs w:val="24"/>
              </w:rPr>
              <w:t xml:space="preserve">Набор для самокатетеризации должен состоять из </w:t>
            </w:r>
            <w:proofErr w:type="spellStart"/>
            <w:r w:rsidRPr="0035377F">
              <w:rPr>
                <w:szCs w:val="24"/>
              </w:rPr>
              <w:t>лубрицированного</w:t>
            </w:r>
            <w:proofErr w:type="spellEnd"/>
            <w:r w:rsidRPr="0035377F">
              <w:rPr>
                <w:szCs w:val="24"/>
              </w:rPr>
              <w:t xml:space="preserve"> катетера и соединённого с ним мочеприёмника (мешка). Набор должен быть готовый к употреблению или требующий активации. Специальная упаковка набора должна позволять проводить катетеризацию, не касаясь катетера руками, иметь прозрачный мочеприёмник объёмом не менее 700 мл и не более 1000 мл с нанесённой градуировкой. Тип </w:t>
            </w:r>
            <w:proofErr w:type="spellStart"/>
            <w:r w:rsidRPr="0035377F">
              <w:rPr>
                <w:szCs w:val="24"/>
              </w:rPr>
              <w:t>Нелатон</w:t>
            </w:r>
            <w:proofErr w:type="spellEnd"/>
            <w:r w:rsidRPr="0035377F">
              <w:rPr>
                <w:szCs w:val="24"/>
              </w:rPr>
              <w:t xml:space="preserve">. Размер по </w:t>
            </w:r>
            <w:proofErr w:type="spellStart"/>
            <w:r w:rsidRPr="0035377F">
              <w:rPr>
                <w:szCs w:val="24"/>
              </w:rPr>
              <w:t>Шарьеру</w:t>
            </w:r>
            <w:proofErr w:type="spellEnd"/>
            <w:r w:rsidRPr="0035377F">
              <w:rPr>
                <w:szCs w:val="24"/>
              </w:rPr>
              <w:t xml:space="preserve">: должен быть от 08 </w:t>
            </w:r>
            <w:proofErr w:type="spellStart"/>
            <w:r w:rsidRPr="0035377F">
              <w:rPr>
                <w:szCs w:val="24"/>
              </w:rPr>
              <w:t>ch</w:t>
            </w:r>
            <w:proofErr w:type="spellEnd"/>
            <w:r w:rsidRPr="0035377F">
              <w:rPr>
                <w:szCs w:val="24"/>
              </w:rPr>
              <w:t xml:space="preserve"> до 18 </w:t>
            </w:r>
            <w:proofErr w:type="spellStart"/>
            <w:r w:rsidRPr="0035377F">
              <w:rPr>
                <w:szCs w:val="24"/>
              </w:rPr>
              <w:t>ch</w:t>
            </w:r>
            <w:proofErr w:type="spellEnd"/>
            <w:r w:rsidRPr="0035377F">
              <w:rPr>
                <w:szCs w:val="24"/>
              </w:rPr>
              <w:t>. Длина катетера должна быть до 50 см. Должны быть в стерильном исполнении, для однократного применения.</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A0CF946" w14:textId="77777777" w:rsidR="0035377F" w:rsidRPr="0035377F" w:rsidRDefault="0035377F" w:rsidP="0035377F">
            <w:pPr>
              <w:jc w:val="center"/>
              <w:rPr>
                <w:szCs w:val="24"/>
              </w:rPr>
            </w:pPr>
            <w:r w:rsidRPr="0035377F">
              <w:rPr>
                <w:szCs w:val="24"/>
              </w:rPr>
              <w:t>Штука</w:t>
            </w:r>
          </w:p>
        </w:tc>
        <w:tc>
          <w:tcPr>
            <w:tcW w:w="359" w:type="pct"/>
            <w:tcBorders>
              <w:top w:val="single" w:sz="4" w:space="0" w:color="auto"/>
              <w:left w:val="single" w:sz="4" w:space="0" w:color="auto"/>
              <w:bottom w:val="single" w:sz="4" w:space="0" w:color="auto"/>
              <w:right w:val="single" w:sz="4" w:space="0" w:color="auto"/>
            </w:tcBorders>
            <w:shd w:val="clear" w:color="000000" w:fill="FFFFFF"/>
          </w:tcPr>
          <w:p w14:paraId="7EC3C3CC" w14:textId="77777777" w:rsidR="0035377F" w:rsidRPr="0035377F" w:rsidRDefault="0035377F" w:rsidP="0035377F">
            <w:pPr>
              <w:jc w:val="center"/>
              <w:rPr>
                <w:szCs w:val="24"/>
              </w:rPr>
            </w:pPr>
            <w:r w:rsidRPr="0035377F">
              <w:rPr>
                <w:szCs w:val="24"/>
              </w:rPr>
              <w:t>99 000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73B735A" w14:textId="77777777" w:rsidR="0035377F" w:rsidRPr="0035377F" w:rsidRDefault="0035377F" w:rsidP="0035377F">
            <w:pPr>
              <w:jc w:val="center"/>
              <w:rPr>
                <w:szCs w:val="24"/>
                <w:highlight w:val="yellow"/>
              </w:rPr>
            </w:pPr>
            <w:r w:rsidRPr="0035377F">
              <w:rPr>
                <w:szCs w:val="24"/>
              </w:rPr>
              <w:t>210,77</w:t>
            </w:r>
          </w:p>
        </w:tc>
        <w:tc>
          <w:tcPr>
            <w:tcW w:w="542" w:type="pct"/>
            <w:tcBorders>
              <w:top w:val="single" w:sz="4" w:space="0" w:color="auto"/>
              <w:left w:val="nil"/>
              <w:bottom w:val="single" w:sz="4" w:space="0" w:color="auto"/>
              <w:right w:val="single" w:sz="4" w:space="0" w:color="auto"/>
            </w:tcBorders>
            <w:shd w:val="clear" w:color="auto" w:fill="auto"/>
          </w:tcPr>
          <w:p w14:paraId="7EC5227A" w14:textId="77777777" w:rsidR="0035377F" w:rsidRPr="0035377F" w:rsidRDefault="0035377F" w:rsidP="0035377F">
            <w:pPr>
              <w:jc w:val="center"/>
              <w:rPr>
                <w:szCs w:val="24"/>
                <w:highlight w:val="yellow"/>
              </w:rPr>
            </w:pPr>
            <w:r w:rsidRPr="0035377F">
              <w:rPr>
                <w:szCs w:val="24"/>
              </w:rPr>
              <w:t>20 866 230,00</w:t>
            </w:r>
          </w:p>
        </w:tc>
      </w:tr>
      <w:tr w:rsidR="0035377F" w:rsidRPr="0035377F" w14:paraId="77EAD4D6" w14:textId="77777777" w:rsidTr="00B46EF5">
        <w:trPr>
          <w:trHeight w:val="270"/>
          <w:jc w:val="center"/>
        </w:trPr>
        <w:tc>
          <w:tcPr>
            <w:tcW w:w="3729" w:type="pct"/>
            <w:gridSpan w:val="4"/>
          </w:tcPr>
          <w:p w14:paraId="09C52F3A" w14:textId="77777777" w:rsidR="0035377F" w:rsidRPr="0035377F" w:rsidRDefault="0035377F" w:rsidP="0035377F">
            <w:pPr>
              <w:keepLines/>
              <w:ind w:firstLine="142"/>
              <w:rPr>
                <w:b/>
                <w:szCs w:val="24"/>
              </w:rPr>
            </w:pPr>
            <w:r w:rsidRPr="0035377F">
              <w:rPr>
                <w:b/>
                <w:szCs w:val="24"/>
              </w:rPr>
              <w:t>ИТОГО:</w:t>
            </w:r>
          </w:p>
        </w:tc>
        <w:tc>
          <w:tcPr>
            <w:tcW w:w="359" w:type="pct"/>
          </w:tcPr>
          <w:p w14:paraId="6CB184BB" w14:textId="77777777" w:rsidR="0035377F" w:rsidRPr="0035377F" w:rsidRDefault="0035377F" w:rsidP="0035377F">
            <w:pPr>
              <w:keepLines/>
              <w:jc w:val="center"/>
              <w:rPr>
                <w:b/>
                <w:szCs w:val="24"/>
              </w:rPr>
            </w:pPr>
            <w:r w:rsidRPr="0035377F">
              <w:rPr>
                <w:b/>
                <w:szCs w:val="24"/>
              </w:rPr>
              <w:t>99 000</w:t>
            </w:r>
          </w:p>
        </w:tc>
        <w:tc>
          <w:tcPr>
            <w:tcW w:w="371" w:type="pct"/>
          </w:tcPr>
          <w:p w14:paraId="713DF0C4" w14:textId="77777777" w:rsidR="0035377F" w:rsidRPr="0035377F" w:rsidRDefault="0035377F" w:rsidP="0035377F">
            <w:pPr>
              <w:keepLines/>
              <w:jc w:val="center"/>
              <w:rPr>
                <w:b/>
                <w:szCs w:val="24"/>
              </w:rPr>
            </w:pPr>
          </w:p>
        </w:tc>
        <w:tc>
          <w:tcPr>
            <w:tcW w:w="542" w:type="pct"/>
            <w:tcBorders>
              <w:top w:val="single" w:sz="4" w:space="0" w:color="auto"/>
              <w:left w:val="nil"/>
              <w:bottom w:val="single" w:sz="4" w:space="0" w:color="auto"/>
              <w:right w:val="single" w:sz="4" w:space="0" w:color="auto"/>
            </w:tcBorders>
            <w:shd w:val="clear" w:color="auto" w:fill="auto"/>
          </w:tcPr>
          <w:p w14:paraId="704A92B3" w14:textId="77777777" w:rsidR="0035377F" w:rsidRPr="0035377F" w:rsidRDefault="0035377F" w:rsidP="0035377F">
            <w:pPr>
              <w:keepLines/>
              <w:jc w:val="center"/>
              <w:rPr>
                <w:b/>
                <w:szCs w:val="24"/>
              </w:rPr>
            </w:pPr>
            <w:r w:rsidRPr="0035377F">
              <w:rPr>
                <w:b/>
                <w:szCs w:val="24"/>
              </w:rPr>
              <w:t>20 866 230,00</w:t>
            </w:r>
          </w:p>
        </w:tc>
      </w:tr>
    </w:tbl>
    <w:p w14:paraId="06F400AB" w14:textId="77777777" w:rsidR="0035377F" w:rsidRPr="0035377F" w:rsidRDefault="0035377F" w:rsidP="0035377F">
      <w:pPr>
        <w:ind w:firstLine="709"/>
        <w:jc w:val="both"/>
        <w:rPr>
          <w:b/>
          <w:color w:val="auto"/>
          <w:szCs w:val="24"/>
          <w:u w:val="single"/>
          <w:lang w:eastAsia="ar-SA"/>
        </w:rPr>
      </w:pPr>
      <w:r w:rsidRPr="0035377F">
        <w:rPr>
          <w:b/>
          <w:color w:val="auto"/>
          <w:szCs w:val="24"/>
          <w:u w:val="single"/>
          <w:lang w:eastAsia="ar-SA"/>
        </w:rPr>
        <w:t>Срок поставки товара:</w:t>
      </w:r>
    </w:p>
    <w:p w14:paraId="59CA5B63" w14:textId="77777777" w:rsidR="0035377F" w:rsidRPr="0035377F" w:rsidRDefault="0035377F" w:rsidP="0035377F">
      <w:pPr>
        <w:ind w:firstLine="709"/>
        <w:jc w:val="both"/>
        <w:rPr>
          <w:color w:val="auto"/>
          <w:szCs w:val="24"/>
        </w:rPr>
      </w:pPr>
      <w:r w:rsidRPr="0035377F">
        <w:rPr>
          <w:color w:val="auto"/>
          <w:szCs w:val="24"/>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31.10.2023. </w:t>
      </w:r>
    </w:p>
    <w:p w14:paraId="4320D8CE" w14:textId="77777777" w:rsidR="0035377F" w:rsidRPr="0035377F" w:rsidRDefault="0035377F" w:rsidP="0035377F">
      <w:pPr>
        <w:ind w:firstLine="709"/>
        <w:jc w:val="both"/>
        <w:rPr>
          <w:color w:val="auto"/>
          <w:szCs w:val="24"/>
        </w:rPr>
      </w:pPr>
      <w:r w:rsidRPr="0035377F">
        <w:rPr>
          <w:color w:val="auto"/>
          <w:szCs w:val="24"/>
        </w:rPr>
        <w:t>В течение 10 (Десяти) календарных дней с даты подписания Контракта предоставить на склад Поставщика, расположенный на территории Краснодарского края 50% от общего количества Товара.</w:t>
      </w:r>
    </w:p>
    <w:p w14:paraId="5E2A29A1" w14:textId="77777777" w:rsidR="0035377F" w:rsidRPr="0035377F" w:rsidRDefault="0035377F" w:rsidP="0035377F">
      <w:pPr>
        <w:ind w:firstLine="709"/>
        <w:jc w:val="both"/>
        <w:rPr>
          <w:color w:val="auto"/>
          <w:szCs w:val="24"/>
        </w:rPr>
      </w:pPr>
      <w:r w:rsidRPr="0035377F">
        <w:rPr>
          <w:color w:val="auto"/>
          <w:szCs w:val="24"/>
        </w:rPr>
        <w:t>До 30.08.2023 г. на складе Поставщика, расположенном на территории Краснодарского края, должно быть 100% от общего количества Товара</w:t>
      </w:r>
    </w:p>
    <w:p w14:paraId="1F1C9BFC" w14:textId="77777777" w:rsidR="0035377F" w:rsidRPr="0035377F" w:rsidRDefault="0035377F" w:rsidP="0035377F">
      <w:pPr>
        <w:ind w:firstLine="709"/>
        <w:jc w:val="both"/>
        <w:rPr>
          <w:color w:val="auto"/>
          <w:szCs w:val="24"/>
          <w:lang w:eastAsia="ar-SA"/>
        </w:rPr>
      </w:pPr>
      <w:r w:rsidRPr="0035377F">
        <w:rPr>
          <w:color w:val="auto"/>
          <w:szCs w:val="24"/>
          <w:lang w:eastAsia="ar-SA"/>
        </w:rPr>
        <w:t xml:space="preserve">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w:t>
      </w:r>
      <w:r w:rsidRPr="0035377F">
        <w:rPr>
          <w:color w:val="auto"/>
          <w:szCs w:val="24"/>
          <w:lang w:eastAsia="ar-SA"/>
        </w:rPr>
        <w:lastRenderedPageBreak/>
        <w:t>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2798E3EC" w14:textId="77777777" w:rsidR="0035377F" w:rsidRPr="0035377F" w:rsidRDefault="0035377F" w:rsidP="0035377F">
      <w:pPr>
        <w:ind w:firstLine="709"/>
        <w:jc w:val="both"/>
        <w:rPr>
          <w:color w:val="auto"/>
          <w:szCs w:val="24"/>
          <w:lang w:eastAsia="ar-SA"/>
        </w:rPr>
      </w:pPr>
      <w:r w:rsidRPr="0035377F">
        <w:rPr>
          <w:color w:val="auto"/>
          <w:szCs w:val="24"/>
          <w:lang w:eastAsia="ar-SA"/>
        </w:rPr>
        <w:t>Остаточный срок годности Товара должен составлять не менее 1 (Одного) года со дня подписания Акта приема-передачи Товара получателем.</w:t>
      </w:r>
    </w:p>
    <w:p w14:paraId="2F6C9240" w14:textId="77777777" w:rsidR="0035377F" w:rsidRPr="0035377F" w:rsidRDefault="0035377F" w:rsidP="0035377F">
      <w:pPr>
        <w:keepLines/>
        <w:widowControl w:val="0"/>
        <w:ind w:firstLine="709"/>
        <w:jc w:val="both"/>
        <w:rPr>
          <w:b/>
          <w:color w:val="auto"/>
          <w:szCs w:val="24"/>
          <w:u w:val="single"/>
          <w:lang w:eastAsia="ar-SA"/>
        </w:rPr>
      </w:pPr>
      <w:r w:rsidRPr="0035377F">
        <w:rPr>
          <w:b/>
          <w:color w:val="auto"/>
          <w:szCs w:val="24"/>
          <w:u w:val="single"/>
          <w:lang w:eastAsia="ar-SA"/>
        </w:rPr>
        <w:t>Место поставки:</w:t>
      </w:r>
    </w:p>
    <w:p w14:paraId="73337FF5" w14:textId="77777777" w:rsidR="0035377F" w:rsidRPr="0035377F" w:rsidRDefault="0035377F" w:rsidP="0035377F">
      <w:pPr>
        <w:keepLines/>
        <w:widowControl w:val="0"/>
        <w:ind w:firstLine="709"/>
        <w:jc w:val="both"/>
        <w:rPr>
          <w:color w:val="auto"/>
          <w:szCs w:val="24"/>
          <w:lang w:eastAsia="ar-SA"/>
        </w:rPr>
      </w:pPr>
      <w:r w:rsidRPr="0035377F">
        <w:rPr>
          <w:color w:val="auto"/>
          <w:szCs w:val="24"/>
          <w:lang w:eastAsia="ar-SA"/>
        </w:rPr>
        <w:t>Краснодарский край:</w:t>
      </w:r>
    </w:p>
    <w:p w14:paraId="19C0CAA0" w14:textId="77777777" w:rsidR="0035377F" w:rsidRPr="0035377F" w:rsidRDefault="0035377F" w:rsidP="0035377F">
      <w:pPr>
        <w:keepLines/>
        <w:widowControl w:val="0"/>
        <w:ind w:firstLine="709"/>
        <w:jc w:val="both"/>
        <w:rPr>
          <w:color w:val="auto"/>
          <w:szCs w:val="24"/>
          <w:lang w:eastAsia="en-US"/>
        </w:rPr>
      </w:pPr>
      <w:r w:rsidRPr="0035377F">
        <w:rPr>
          <w:color w:val="auto"/>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142A0FE7" w14:textId="77777777" w:rsidR="0035377F" w:rsidRPr="0035377F" w:rsidRDefault="0035377F" w:rsidP="0035377F">
      <w:pPr>
        <w:ind w:firstLine="709"/>
        <w:jc w:val="both"/>
        <w:rPr>
          <w:color w:val="auto"/>
          <w:szCs w:val="24"/>
          <w:lang w:eastAsia="ar-SA"/>
        </w:rPr>
      </w:pPr>
      <w:r w:rsidRPr="0035377F">
        <w:rPr>
          <w:color w:val="auto"/>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35377F">
        <w:rPr>
          <w:color w:val="auto"/>
          <w:szCs w:val="24"/>
          <w:lang w:eastAsia="ar-SA"/>
        </w:rPr>
        <w:t xml:space="preserve"> </w:t>
      </w:r>
    </w:p>
    <w:p w14:paraId="2CB0D81A" w14:textId="77777777" w:rsidR="0035377F" w:rsidRPr="0035377F" w:rsidRDefault="0035377F" w:rsidP="0035377F">
      <w:pPr>
        <w:ind w:firstLine="709"/>
        <w:jc w:val="both"/>
        <w:rPr>
          <w:color w:val="auto"/>
          <w:szCs w:val="24"/>
          <w:lang w:eastAsia="ar-SA"/>
        </w:rPr>
      </w:pPr>
      <w:r w:rsidRPr="0035377F">
        <w:rPr>
          <w:color w:val="auto"/>
          <w:szCs w:val="24"/>
          <w:lang w:eastAsia="ar-SA"/>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175F265A" w14:textId="77777777" w:rsidR="0035377F" w:rsidRPr="0035377F" w:rsidRDefault="0035377F" w:rsidP="0035377F">
      <w:pPr>
        <w:ind w:firstLine="709"/>
        <w:jc w:val="both"/>
        <w:rPr>
          <w:color w:val="auto"/>
          <w:szCs w:val="24"/>
          <w:lang w:eastAsia="ar-SA"/>
        </w:rPr>
      </w:pPr>
      <w:r w:rsidRPr="0035377F">
        <w:rPr>
          <w:color w:val="auto"/>
          <w:szCs w:val="24"/>
          <w:lang w:eastAsia="ar-SA"/>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384F1A6B" w14:textId="77777777" w:rsidR="0035377F" w:rsidRPr="0035377F" w:rsidRDefault="0035377F" w:rsidP="0035377F">
      <w:pPr>
        <w:ind w:firstLine="709"/>
        <w:jc w:val="both"/>
        <w:rPr>
          <w:color w:val="auto"/>
          <w:szCs w:val="24"/>
          <w:lang w:eastAsia="ar-SA"/>
        </w:rPr>
      </w:pPr>
      <w:r w:rsidRPr="0035377F">
        <w:rPr>
          <w:color w:val="auto"/>
          <w:szCs w:val="24"/>
          <w:lang w:eastAsia="ar-SA"/>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4DB55EE6" w14:textId="481FE0EE" w:rsidR="0035377F" w:rsidRPr="0035377F" w:rsidRDefault="0035377F" w:rsidP="0035377F">
      <w:pPr>
        <w:keepLines/>
        <w:widowControl w:val="0"/>
        <w:tabs>
          <w:tab w:val="left" w:pos="3828"/>
          <w:tab w:val="center" w:pos="5244"/>
        </w:tabs>
        <w:ind w:firstLine="709"/>
        <w:jc w:val="both"/>
        <w:rPr>
          <w:color w:val="auto"/>
          <w:szCs w:val="24"/>
          <w:lang w:eastAsia="ar-SA"/>
        </w:rPr>
      </w:pPr>
      <w:r w:rsidRPr="0035377F">
        <w:rPr>
          <w:color w:val="auto"/>
          <w:szCs w:val="24"/>
          <w:lang w:eastAsia="ar-SA"/>
        </w:rPr>
        <w:t xml:space="preserve">Соответствие ГОСТ ISO 10993-1-2021, ГОСТ ISO 10993-5-2011, ГОСТ ISO 10993-10-2011, </w:t>
      </w:r>
      <w:r w:rsidRPr="0035377F">
        <w:rPr>
          <w:rFonts w:eastAsia="Calibri"/>
          <w:color w:val="auto"/>
          <w:szCs w:val="24"/>
          <w:lang w:eastAsia="en-US"/>
        </w:rPr>
        <w:t xml:space="preserve">ГОСТ Р 52770-2016, </w:t>
      </w:r>
      <w:r w:rsidR="00C60232" w:rsidRPr="00C60232">
        <w:rPr>
          <w:color w:val="auto"/>
          <w:szCs w:val="24"/>
          <w:lang w:eastAsia="ar-SA"/>
        </w:rPr>
        <w:t>ГОСТ Р 58235-2022</w:t>
      </w:r>
      <w:r w:rsidR="00C60232">
        <w:rPr>
          <w:color w:val="auto"/>
          <w:szCs w:val="24"/>
          <w:lang w:eastAsia="ar-SA"/>
        </w:rPr>
        <w:t>.</w:t>
      </w:r>
      <w:bookmarkStart w:id="0" w:name="_GoBack"/>
      <w:bookmarkEnd w:id="0"/>
    </w:p>
    <w:p w14:paraId="42068A33" w14:textId="77777777" w:rsidR="0035377F" w:rsidRPr="0035377F" w:rsidRDefault="0035377F" w:rsidP="0035377F">
      <w:pPr>
        <w:keepLines/>
        <w:widowControl w:val="0"/>
        <w:tabs>
          <w:tab w:val="left" w:pos="3828"/>
          <w:tab w:val="center" w:pos="5244"/>
        </w:tabs>
        <w:jc w:val="both"/>
        <w:rPr>
          <w:b/>
          <w:szCs w:val="24"/>
        </w:rPr>
      </w:pPr>
    </w:p>
    <w:p w14:paraId="5B001993" w14:textId="77777777" w:rsidR="005E5EAB" w:rsidRPr="00F935B8" w:rsidRDefault="005E5EAB" w:rsidP="0035377F">
      <w:pPr>
        <w:keepLines/>
        <w:widowControl w:val="0"/>
        <w:jc w:val="center"/>
        <w:rPr>
          <w:b/>
          <w:szCs w:val="24"/>
        </w:rPr>
      </w:pPr>
    </w:p>
    <w:sectPr w:rsidR="005E5EAB" w:rsidRPr="00F935B8" w:rsidSect="00C143A3">
      <w:pgSz w:w="16838" w:h="11906" w:orient="landscape"/>
      <w:pgMar w:top="568" w:right="962"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0FF0AEE8" w14:textId="77777777" w:rsidR="0035377F" w:rsidRDefault="0035377F" w:rsidP="0035377F">
      <w:pPr>
        <w:pStyle w:val="affff4"/>
      </w:pPr>
      <w:r>
        <w:rPr>
          <w:rStyle w:val="affff6"/>
        </w:rPr>
        <w:footnoteRef/>
      </w:r>
      <w:r>
        <w:t xml:space="preserve"> Не более</w:t>
      </w:r>
    </w:p>
  </w:footnote>
  <w:footnote w:id="2">
    <w:p w14:paraId="1F72AEBC" w14:textId="77777777" w:rsidR="0035377F" w:rsidRDefault="0035377F" w:rsidP="0035377F">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5153E"/>
    <w:rsid w:val="00084A35"/>
    <w:rsid w:val="0009531E"/>
    <w:rsid w:val="000E7E2B"/>
    <w:rsid w:val="000F20C4"/>
    <w:rsid w:val="000F43FB"/>
    <w:rsid w:val="0013772F"/>
    <w:rsid w:val="00194410"/>
    <w:rsid w:val="001967B7"/>
    <w:rsid w:val="001B422E"/>
    <w:rsid w:val="001C02FA"/>
    <w:rsid w:val="001C54FA"/>
    <w:rsid w:val="00202B0D"/>
    <w:rsid w:val="00224785"/>
    <w:rsid w:val="00225261"/>
    <w:rsid w:val="00230E03"/>
    <w:rsid w:val="002454A4"/>
    <w:rsid w:val="0024676B"/>
    <w:rsid w:val="00262F2D"/>
    <w:rsid w:val="00292D62"/>
    <w:rsid w:val="002D7B85"/>
    <w:rsid w:val="002E1EDD"/>
    <w:rsid w:val="002F2C66"/>
    <w:rsid w:val="0032099B"/>
    <w:rsid w:val="0032718C"/>
    <w:rsid w:val="0032740B"/>
    <w:rsid w:val="00353467"/>
    <w:rsid w:val="0035377F"/>
    <w:rsid w:val="003D052C"/>
    <w:rsid w:val="004031D1"/>
    <w:rsid w:val="00412270"/>
    <w:rsid w:val="00414B6D"/>
    <w:rsid w:val="00431882"/>
    <w:rsid w:val="00433F8E"/>
    <w:rsid w:val="004438E1"/>
    <w:rsid w:val="00451019"/>
    <w:rsid w:val="004542A4"/>
    <w:rsid w:val="00487CF6"/>
    <w:rsid w:val="004A0413"/>
    <w:rsid w:val="004B339D"/>
    <w:rsid w:val="004B668B"/>
    <w:rsid w:val="004E4016"/>
    <w:rsid w:val="004F1680"/>
    <w:rsid w:val="00503FAF"/>
    <w:rsid w:val="0051277F"/>
    <w:rsid w:val="005223B7"/>
    <w:rsid w:val="005235DC"/>
    <w:rsid w:val="0052416F"/>
    <w:rsid w:val="005245F0"/>
    <w:rsid w:val="00530D29"/>
    <w:rsid w:val="00535C59"/>
    <w:rsid w:val="00544AA4"/>
    <w:rsid w:val="005554DB"/>
    <w:rsid w:val="00576427"/>
    <w:rsid w:val="0058778B"/>
    <w:rsid w:val="005B3EF0"/>
    <w:rsid w:val="005B6726"/>
    <w:rsid w:val="005C1ADB"/>
    <w:rsid w:val="005E2968"/>
    <w:rsid w:val="005E5EAB"/>
    <w:rsid w:val="005E781C"/>
    <w:rsid w:val="005F734A"/>
    <w:rsid w:val="005F7457"/>
    <w:rsid w:val="00624297"/>
    <w:rsid w:val="00627C14"/>
    <w:rsid w:val="00690E40"/>
    <w:rsid w:val="00693A56"/>
    <w:rsid w:val="00696F3D"/>
    <w:rsid w:val="006978FC"/>
    <w:rsid w:val="006B7795"/>
    <w:rsid w:val="006C17CD"/>
    <w:rsid w:val="006E6C80"/>
    <w:rsid w:val="00754F59"/>
    <w:rsid w:val="00786AE2"/>
    <w:rsid w:val="007B52CF"/>
    <w:rsid w:val="007B62A2"/>
    <w:rsid w:val="007C1661"/>
    <w:rsid w:val="007C5358"/>
    <w:rsid w:val="007E084A"/>
    <w:rsid w:val="00815D38"/>
    <w:rsid w:val="008264D2"/>
    <w:rsid w:val="00843A71"/>
    <w:rsid w:val="008469F5"/>
    <w:rsid w:val="00857023"/>
    <w:rsid w:val="00865F7D"/>
    <w:rsid w:val="00882FED"/>
    <w:rsid w:val="008831B7"/>
    <w:rsid w:val="0088402E"/>
    <w:rsid w:val="008A7512"/>
    <w:rsid w:val="008B7BC9"/>
    <w:rsid w:val="008E07C7"/>
    <w:rsid w:val="008E54EF"/>
    <w:rsid w:val="008F320D"/>
    <w:rsid w:val="008F7EE2"/>
    <w:rsid w:val="00901437"/>
    <w:rsid w:val="0093322E"/>
    <w:rsid w:val="00954674"/>
    <w:rsid w:val="009619DB"/>
    <w:rsid w:val="009774F1"/>
    <w:rsid w:val="00990953"/>
    <w:rsid w:val="009D3DD9"/>
    <w:rsid w:val="009E4098"/>
    <w:rsid w:val="009F45BB"/>
    <w:rsid w:val="009F7006"/>
    <w:rsid w:val="00A25E32"/>
    <w:rsid w:val="00A367F1"/>
    <w:rsid w:val="00A41014"/>
    <w:rsid w:val="00A464C9"/>
    <w:rsid w:val="00AE4A66"/>
    <w:rsid w:val="00AE6D80"/>
    <w:rsid w:val="00B27775"/>
    <w:rsid w:val="00B27C95"/>
    <w:rsid w:val="00B3008E"/>
    <w:rsid w:val="00B32DE4"/>
    <w:rsid w:val="00B46E19"/>
    <w:rsid w:val="00B849FF"/>
    <w:rsid w:val="00B91503"/>
    <w:rsid w:val="00BD0741"/>
    <w:rsid w:val="00BD26F7"/>
    <w:rsid w:val="00BD790A"/>
    <w:rsid w:val="00BF1B6F"/>
    <w:rsid w:val="00BF7B4A"/>
    <w:rsid w:val="00C131AD"/>
    <w:rsid w:val="00C135FC"/>
    <w:rsid w:val="00C143A3"/>
    <w:rsid w:val="00C60232"/>
    <w:rsid w:val="00C67BED"/>
    <w:rsid w:val="00CA2E18"/>
    <w:rsid w:val="00CE0D8D"/>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43D1E"/>
    <w:rsid w:val="00E462E9"/>
    <w:rsid w:val="00E812D9"/>
    <w:rsid w:val="00E91DED"/>
    <w:rsid w:val="00EE756A"/>
    <w:rsid w:val="00EF4A53"/>
    <w:rsid w:val="00F210DC"/>
    <w:rsid w:val="00F40C65"/>
    <w:rsid w:val="00F4162E"/>
    <w:rsid w:val="00F45416"/>
    <w:rsid w:val="00F55F93"/>
    <w:rsid w:val="00F60C6D"/>
    <w:rsid w:val="00F82A8E"/>
    <w:rsid w:val="00F935B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35377F"/>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5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F3F8D-A1D5-488E-879E-24982DF1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671</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Кузьмина Людмила Александровна</cp:lastModifiedBy>
  <cp:revision>153</cp:revision>
  <dcterms:created xsi:type="dcterms:W3CDTF">2021-12-29T15:28:00Z</dcterms:created>
  <dcterms:modified xsi:type="dcterms:W3CDTF">2023-05-22T08:01:00Z</dcterms:modified>
</cp:coreProperties>
</file>