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>
        <w:rPr>
          <w:rFonts w:ascii="Times New Roman" w:hAnsi="Times New Roman" w:cs="Times New Roman"/>
          <w:b/>
          <w:color w:val="000000"/>
        </w:rPr>
        <w:t>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3471F" w:rsidRDefault="00C13A8D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>ОК</w:t>
      </w:r>
      <w:r w:rsidR="009B6B3F">
        <w:rPr>
          <w:rFonts w:ascii="Times New Roman" w:hAnsi="Times New Roman" w:cs="Times New Roman"/>
          <w:b/>
          <w:color w:val="000000"/>
        </w:rPr>
        <w:t>ЭФ</w:t>
      </w:r>
      <w:r w:rsidRPr="00014490">
        <w:rPr>
          <w:rFonts w:ascii="Times New Roman" w:hAnsi="Times New Roman" w:cs="Times New Roman"/>
          <w:b/>
          <w:color w:val="000000"/>
        </w:rPr>
        <w:t>.</w:t>
      </w:r>
      <w:r w:rsidR="006D77A2">
        <w:rPr>
          <w:rFonts w:ascii="Times New Roman" w:hAnsi="Times New Roman" w:cs="Times New Roman"/>
          <w:b/>
          <w:color w:val="000000"/>
        </w:rPr>
        <w:t>4</w:t>
      </w:r>
      <w:r w:rsidR="008538D8">
        <w:rPr>
          <w:rFonts w:ascii="Times New Roman" w:hAnsi="Times New Roman" w:cs="Times New Roman"/>
          <w:b/>
          <w:color w:val="000000"/>
        </w:rPr>
        <w:t>6</w:t>
      </w:r>
      <w:r w:rsidR="00560707" w:rsidRPr="00014490">
        <w:rPr>
          <w:rFonts w:ascii="Times New Roman" w:hAnsi="Times New Roman" w:cs="Times New Roman"/>
          <w:b/>
          <w:color w:val="000000"/>
        </w:rPr>
        <w:t>-22</w:t>
      </w:r>
    </w:p>
    <w:p w:rsidR="00F3471F" w:rsidRDefault="00F3471F" w:rsidP="0053069F">
      <w:pPr>
        <w:jc w:val="both"/>
        <w:rPr>
          <w:rFonts w:ascii="Times New Roman" w:hAnsi="Times New Roman"/>
          <w:bCs/>
        </w:rPr>
      </w:pPr>
      <w:r w:rsidRPr="00014490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07073C" w:rsidRPr="00834DB7">
        <w:rPr>
          <w:rFonts w:ascii="Times New Roman" w:hAnsi="Times New Roman"/>
          <w:bCs/>
        </w:rPr>
        <w:t>На выполнение работ по обеспечению в 202</w:t>
      </w:r>
      <w:r w:rsidR="00EF39A6">
        <w:rPr>
          <w:rFonts w:ascii="Times New Roman" w:hAnsi="Times New Roman"/>
          <w:bCs/>
        </w:rPr>
        <w:t>3</w:t>
      </w:r>
      <w:r w:rsidR="0007073C" w:rsidRPr="00834DB7">
        <w:rPr>
          <w:rFonts w:ascii="Times New Roman" w:hAnsi="Times New Roman"/>
          <w:bCs/>
        </w:rPr>
        <w:t xml:space="preserve"> году </w:t>
      </w:r>
      <w:r w:rsidR="008538D8">
        <w:rPr>
          <w:rFonts w:ascii="Times New Roman" w:hAnsi="Times New Roman"/>
          <w:bCs/>
        </w:rPr>
        <w:t>инвалидов протезами верхних конечностей</w:t>
      </w:r>
    </w:p>
    <w:tbl>
      <w:tblPr>
        <w:tblW w:w="10902" w:type="dxa"/>
        <w:tblInd w:w="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6"/>
        <w:gridCol w:w="8307"/>
        <w:gridCol w:w="709"/>
      </w:tblGrid>
      <w:tr w:rsidR="006745B3" w:rsidRPr="00ED4061" w:rsidTr="006745B3"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5B3" w:rsidRPr="00694BF8" w:rsidRDefault="006745B3" w:rsidP="00BD56F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</w:tc>
        <w:tc>
          <w:tcPr>
            <w:tcW w:w="8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5B3" w:rsidRPr="00694BF8" w:rsidRDefault="006745B3" w:rsidP="00BD56F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745B3" w:rsidRPr="00694BF8" w:rsidRDefault="006745B3" w:rsidP="00BD56F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Кол-во</w:t>
            </w:r>
          </w:p>
          <w:p w:rsidR="006745B3" w:rsidRPr="00694BF8" w:rsidRDefault="006745B3" w:rsidP="00BD56F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694BF8">
              <w:rPr>
                <w:rFonts w:ascii="Times New Roman" w:hAnsi="Times New Roman"/>
                <w:b/>
                <w:szCs w:val="20"/>
              </w:rPr>
              <w:t>(шт.)</w:t>
            </w:r>
          </w:p>
        </w:tc>
      </w:tr>
      <w:tr w:rsidR="006745B3" w:rsidRPr="0009680F" w:rsidTr="006745B3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5B3" w:rsidRPr="00F15C7E" w:rsidRDefault="006745B3" w:rsidP="00BD56FA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0"/>
                <w:lang w:eastAsia="zh-CN"/>
              </w:rPr>
              <w:t>Протез предплечья с микропроцессорным управлением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B3" w:rsidRPr="00A33351" w:rsidRDefault="006745B3" w:rsidP="006745B3">
            <w:pPr>
              <w:numPr>
                <w:ilvl w:val="0"/>
                <w:numId w:val="2"/>
              </w:num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/>
              </w:rPr>
            </w:pPr>
            <w:r w:rsidRPr="00A33351">
              <w:rPr>
                <w:rFonts w:ascii="Times New Roman" w:eastAsia="Calibri" w:hAnsi="Times New Roman"/>
              </w:rPr>
              <w:t xml:space="preserve">Протез должен быть предназначен для частичной компенсации врожденных или приобретенных травм, приведших к ампутации верхних конечностей на уровне пальцев и кисти. Протез должен состоять из двух основных частей: кисть и предплечье. Кисть должна состоять из: внутренней гильзы, в которую опционально устанавливаются электроды; модулей пальцев, состоящих из мотор-редуктора и кинематического механизма, размещенных в корпусе пальца. Предплечье должно состоять из: опциональной внутренней гильзы, выполненной в двух вариациях: с электродами на предплечье или в кисти; системы питания, включающей АКБ, и плату управления питанием, модуль зарядки и включения; системы управления; внешней гильзы. Привод модуля пальца должен быть электромеханический. Протез может запомнить 8 различных жестов. По умолчанию в протезе должен быть настроен первый жест – кулак, остальные жесты могут настраиваться индивидуально по желанию пользователя в момент протезирования или после самим пользователем. Переключение и настройка жестов должна происходить через мобильное приложение или командой от ЭМГ датчиков. Применение косметической внешней оболочки не предусматривается. Ладонь и кончики пальцев должны быть оснащены противоскользящими силиконовыми накладками. Возможна опция с токопроводящими </w:t>
            </w:r>
            <w:proofErr w:type="spellStart"/>
            <w:r w:rsidRPr="00A33351">
              <w:rPr>
                <w:rFonts w:ascii="Times New Roman" w:eastAsia="Calibri" w:hAnsi="Times New Roman"/>
              </w:rPr>
              <w:t>напальчиками</w:t>
            </w:r>
            <w:proofErr w:type="spellEnd"/>
            <w:r w:rsidRPr="00A33351">
              <w:rPr>
                <w:rFonts w:ascii="Times New Roman" w:eastAsia="Calibri" w:hAnsi="Times New Roman"/>
              </w:rPr>
              <w:t xml:space="preserve"> для работы с сенсорными экранами. Управление протезом должно происходить за счет регистрации на поверхности кожи предплечья </w:t>
            </w:r>
            <w:proofErr w:type="spellStart"/>
            <w:r w:rsidRPr="00A33351">
              <w:rPr>
                <w:rFonts w:ascii="Times New Roman" w:eastAsia="Calibri" w:hAnsi="Times New Roman"/>
              </w:rPr>
              <w:t>электромиографического</w:t>
            </w:r>
            <w:proofErr w:type="spellEnd"/>
            <w:r w:rsidRPr="00A33351">
              <w:rPr>
                <w:rFonts w:ascii="Times New Roman" w:eastAsia="Calibri" w:hAnsi="Times New Roman"/>
              </w:rPr>
              <w:t xml:space="preserve"> сигнала посредством </w:t>
            </w:r>
            <w:proofErr w:type="spellStart"/>
            <w:r w:rsidRPr="00A33351">
              <w:rPr>
                <w:rFonts w:ascii="Times New Roman" w:eastAsia="Calibri" w:hAnsi="Times New Roman"/>
              </w:rPr>
              <w:t>миодатчиков</w:t>
            </w:r>
            <w:proofErr w:type="spellEnd"/>
            <w:r w:rsidRPr="00A33351">
              <w:rPr>
                <w:rFonts w:ascii="Times New Roman" w:eastAsia="Calibri" w:hAnsi="Times New Roman"/>
              </w:rPr>
              <w:t xml:space="preserve">, расположенных во внутренней гильзе. Управление протезом должно быть – одно/двухканальное. В качестве источника энергии должен служить заряжаемый, несъемный литий-ионный аккумулятор с защитой от перезаряда, зарядка – стандартный разъем </w:t>
            </w:r>
            <w:r w:rsidRPr="00A33351">
              <w:rPr>
                <w:rFonts w:ascii="Times New Roman" w:eastAsia="Calibri" w:hAnsi="Times New Roman"/>
                <w:lang w:val="en-US"/>
              </w:rPr>
              <w:t>USB</w:t>
            </w:r>
            <w:r w:rsidRPr="00A33351">
              <w:rPr>
                <w:rFonts w:ascii="Times New Roman" w:eastAsia="Calibri" w:hAnsi="Times New Roman"/>
              </w:rPr>
              <w:t>-</w:t>
            </w:r>
            <w:r w:rsidRPr="00A33351">
              <w:rPr>
                <w:rFonts w:ascii="Times New Roman" w:eastAsia="Calibri" w:hAnsi="Times New Roman"/>
                <w:lang w:val="en-US"/>
              </w:rPr>
              <w:t>Type</w:t>
            </w:r>
            <w:r w:rsidRPr="00A33351">
              <w:rPr>
                <w:rFonts w:ascii="Times New Roman" w:eastAsia="Calibri" w:hAnsi="Times New Roman"/>
              </w:rPr>
              <w:t xml:space="preserve"> </w:t>
            </w:r>
            <w:r w:rsidRPr="00A33351">
              <w:rPr>
                <w:rFonts w:ascii="Times New Roman" w:eastAsia="Calibri" w:hAnsi="Times New Roman"/>
                <w:lang w:val="en-US"/>
              </w:rPr>
              <w:t>C</w:t>
            </w:r>
            <w:r w:rsidRPr="00A33351">
              <w:rPr>
                <w:rFonts w:ascii="Times New Roman" w:eastAsia="Calibri" w:hAnsi="Times New Roman"/>
              </w:rPr>
              <w:t xml:space="preserve"> с светодиодной индикацией статуса батареи. Приемная гильза должна изготавливаться из </w:t>
            </w:r>
            <w:proofErr w:type="spellStart"/>
            <w:r w:rsidRPr="00A33351">
              <w:rPr>
                <w:rFonts w:ascii="Times New Roman" w:eastAsia="Calibri" w:hAnsi="Times New Roman"/>
              </w:rPr>
              <w:t>термолина</w:t>
            </w:r>
            <w:proofErr w:type="spellEnd"/>
            <w:r w:rsidRPr="00A33351">
              <w:rPr>
                <w:rFonts w:ascii="Times New Roman" w:eastAsia="Calibri" w:hAnsi="Times New Roman"/>
              </w:rPr>
              <w:t>. Удержание протеза на культе за счет анатомических особенностей культи и/или за счет ремней-стяжек.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5B3" w:rsidRDefault="006745B3" w:rsidP="00BD56F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6745B3" w:rsidRPr="0009680F" w:rsidTr="006745B3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5B3" w:rsidRPr="00F15C7E" w:rsidRDefault="006745B3" w:rsidP="00BD56FA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</w:rPr>
            </w:pPr>
            <w:r w:rsidRPr="00F15C7E">
              <w:rPr>
                <w:rFonts w:ascii="Times New Roman" w:hAnsi="Times New Roman"/>
                <w:szCs w:val="20"/>
                <w:lang w:eastAsia="zh-CN"/>
              </w:rPr>
              <w:t xml:space="preserve">Протез </w:t>
            </w:r>
            <w:r w:rsidRPr="00F15C7E">
              <w:rPr>
                <w:rFonts w:ascii="Times New Roman" w:hAnsi="Times New Roman"/>
                <w:szCs w:val="20"/>
              </w:rPr>
              <w:t>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B3" w:rsidRPr="00A33351" w:rsidRDefault="006745B3" w:rsidP="00BD56FA">
            <w:pPr>
              <w:jc w:val="both"/>
              <w:rPr>
                <w:rFonts w:ascii="Times New Roman" w:hAnsi="Times New Roman"/>
              </w:rPr>
            </w:pPr>
            <w:r w:rsidRPr="00A33351">
              <w:rPr>
                <w:rFonts w:ascii="Times New Roman" w:hAnsi="Times New Roman"/>
              </w:rPr>
              <w:t>Протез должен быть предназначен для компенсации врожденных или приобретенных травм, приведших к ампутации верхних конечностей на уровне предплечья (ниже локтевого сустава), включая длинные культи (после вычленении кисти в лучезапястном суставе, сохранении рудимента кисти) при сохранении активного локтевого сустава.</w:t>
            </w:r>
          </w:p>
          <w:p w:rsidR="006745B3" w:rsidRPr="00A33351" w:rsidRDefault="006745B3" w:rsidP="00BD56FA">
            <w:pPr>
              <w:jc w:val="both"/>
              <w:rPr>
                <w:rFonts w:ascii="Times New Roman" w:hAnsi="Times New Roman"/>
              </w:rPr>
            </w:pPr>
            <w:r w:rsidRPr="00A33351">
              <w:rPr>
                <w:rFonts w:ascii="Times New Roman" w:hAnsi="Times New Roman"/>
              </w:rPr>
              <w:t>Протез должен состоять из двух основных частей: гильзы и модуля кисти (</w:t>
            </w:r>
            <w:r w:rsidRPr="00A33351">
              <w:rPr>
                <w:rFonts w:ascii="Times New Roman" w:hAnsi="Times New Roman"/>
                <w:lang w:val="en-US"/>
              </w:rPr>
              <w:t>MANIFESTO</w:t>
            </w:r>
            <w:r w:rsidRPr="00A33351">
              <w:rPr>
                <w:rFonts w:ascii="Times New Roman" w:hAnsi="Times New Roman"/>
              </w:rPr>
              <w:t xml:space="preserve">). Гильза в свою очередь должна состоять из </w:t>
            </w:r>
            <w:proofErr w:type="spellStart"/>
            <w:r w:rsidRPr="00A33351">
              <w:rPr>
                <w:rFonts w:ascii="Times New Roman" w:hAnsi="Times New Roman"/>
              </w:rPr>
              <w:t>культеприемной</w:t>
            </w:r>
            <w:proofErr w:type="spellEnd"/>
            <w:r w:rsidRPr="00A33351">
              <w:rPr>
                <w:rFonts w:ascii="Times New Roman" w:hAnsi="Times New Roman"/>
              </w:rPr>
              <w:t xml:space="preserve"> (внутренней) и внешней (несущей). Модуль кисти должен иметь 6 независимых степеней свободы – по одной на каждый палец и активную ротацию большого пальца. Это должно дать возможность выполнять произвольно настраиваемые жесты и использовать схваты для различных предметов и действий с ними. Протез может запомнить 8 различных жестов. По умолчанию в протезе должен быть настроен первый жест – кулак, остальные жесты могут настраиваться индивидуально по желанию пользователя в момент протезирования и после, самим пользователем. Переключение и настройка жестов должно происходить через мобильное приложение или командой от ЭМГ датчиков.</w:t>
            </w:r>
          </w:p>
          <w:p w:rsidR="006745B3" w:rsidRPr="00A33351" w:rsidRDefault="006745B3" w:rsidP="00BD56FA">
            <w:pPr>
              <w:jc w:val="both"/>
              <w:rPr>
                <w:rFonts w:ascii="Times New Roman" w:hAnsi="Times New Roman"/>
              </w:rPr>
            </w:pPr>
            <w:r w:rsidRPr="00A33351">
              <w:rPr>
                <w:rFonts w:ascii="Times New Roman" w:hAnsi="Times New Roman"/>
              </w:rPr>
              <w:t xml:space="preserve">Все пальцы должны быть оснащены электромеханическим управлением. Пальцы со 2-го по 5-ый должны иметь 2 подвижных взаимозависимых сустава. Большой палец должен иметь 1 подвижный сустав. Система управления протезом должна обеспечивать позиционное управление каждого пальца, а именно – сгибание/разгибание. Ладонь и </w:t>
            </w:r>
            <w:r w:rsidRPr="00A33351">
              <w:rPr>
                <w:rFonts w:ascii="Times New Roman" w:hAnsi="Times New Roman"/>
              </w:rPr>
              <w:lastRenderedPageBreak/>
              <w:t xml:space="preserve">кончики пальцев оснащены противоскользящими силиконовыми накладками (ладошка и </w:t>
            </w:r>
            <w:proofErr w:type="spellStart"/>
            <w:r w:rsidRPr="00A33351">
              <w:rPr>
                <w:rFonts w:ascii="Times New Roman" w:hAnsi="Times New Roman"/>
              </w:rPr>
              <w:t>напальчики</w:t>
            </w:r>
            <w:proofErr w:type="spellEnd"/>
            <w:r w:rsidRPr="00A33351">
              <w:rPr>
                <w:rFonts w:ascii="Times New Roman" w:hAnsi="Times New Roman"/>
              </w:rPr>
              <w:t xml:space="preserve">). </w:t>
            </w:r>
          </w:p>
          <w:p w:rsidR="006745B3" w:rsidRPr="00A33351" w:rsidRDefault="006745B3" w:rsidP="00BD56FA">
            <w:pPr>
              <w:jc w:val="both"/>
              <w:rPr>
                <w:rFonts w:ascii="Times New Roman" w:hAnsi="Times New Roman"/>
              </w:rPr>
            </w:pPr>
            <w:r w:rsidRPr="00A33351">
              <w:rPr>
                <w:rFonts w:ascii="Times New Roman" w:hAnsi="Times New Roman"/>
              </w:rPr>
              <w:t xml:space="preserve">Управление протезом должно осуществляться за счет регистрации на поверхности кожи культи </w:t>
            </w:r>
            <w:proofErr w:type="spellStart"/>
            <w:r w:rsidRPr="00A33351">
              <w:rPr>
                <w:rFonts w:ascii="Times New Roman" w:hAnsi="Times New Roman"/>
              </w:rPr>
              <w:t>электромиографического</w:t>
            </w:r>
            <w:proofErr w:type="spellEnd"/>
            <w:r w:rsidRPr="00A33351">
              <w:rPr>
                <w:rFonts w:ascii="Times New Roman" w:hAnsi="Times New Roman"/>
              </w:rPr>
              <w:t xml:space="preserve"> сигнала посредством </w:t>
            </w:r>
            <w:proofErr w:type="spellStart"/>
            <w:r w:rsidRPr="00A33351">
              <w:rPr>
                <w:rFonts w:ascii="Times New Roman" w:hAnsi="Times New Roman"/>
              </w:rPr>
              <w:t>миодатчиков</w:t>
            </w:r>
            <w:proofErr w:type="spellEnd"/>
            <w:r w:rsidRPr="00A33351">
              <w:rPr>
                <w:rFonts w:ascii="Times New Roman" w:hAnsi="Times New Roman"/>
              </w:rPr>
              <w:t xml:space="preserve">, зафиксированных во внутренней гильзе. Управление протезом – одно/двухканальное. Питание: в качестве источника энергии должен служить заряжаемый, несъемный литий-ионный аккумулятор с защитой от перезаряда. Зарядка-стандартный разъем </w:t>
            </w:r>
            <w:r w:rsidRPr="00A33351">
              <w:rPr>
                <w:rFonts w:ascii="Times New Roman" w:hAnsi="Times New Roman"/>
                <w:lang w:val="en-US"/>
              </w:rPr>
              <w:t>USB</w:t>
            </w:r>
            <w:r w:rsidRPr="00A33351">
              <w:rPr>
                <w:rFonts w:ascii="Times New Roman" w:hAnsi="Times New Roman"/>
              </w:rPr>
              <w:t xml:space="preserve"> – </w:t>
            </w:r>
            <w:r w:rsidRPr="00A33351">
              <w:rPr>
                <w:rFonts w:ascii="Times New Roman" w:hAnsi="Times New Roman"/>
                <w:lang w:val="en-US"/>
              </w:rPr>
              <w:t>Type</w:t>
            </w:r>
            <w:r w:rsidRPr="00A33351">
              <w:rPr>
                <w:rFonts w:ascii="Times New Roman" w:hAnsi="Times New Roman"/>
              </w:rPr>
              <w:t xml:space="preserve"> </w:t>
            </w:r>
            <w:r w:rsidRPr="00A33351">
              <w:rPr>
                <w:rFonts w:ascii="Times New Roman" w:hAnsi="Times New Roman"/>
                <w:lang w:val="en-US"/>
              </w:rPr>
              <w:t>C</w:t>
            </w:r>
            <w:r w:rsidRPr="00A33351">
              <w:rPr>
                <w:rFonts w:ascii="Times New Roman" w:hAnsi="Times New Roman"/>
              </w:rPr>
              <w:t xml:space="preserve">. </w:t>
            </w:r>
            <w:proofErr w:type="spellStart"/>
            <w:r w:rsidRPr="00A33351">
              <w:rPr>
                <w:rFonts w:ascii="Times New Roman" w:hAnsi="Times New Roman"/>
              </w:rPr>
              <w:t>Светоиндикация</w:t>
            </w:r>
            <w:proofErr w:type="spellEnd"/>
            <w:r w:rsidRPr="00A33351">
              <w:rPr>
                <w:rFonts w:ascii="Times New Roman" w:hAnsi="Times New Roman"/>
              </w:rPr>
              <w:t xml:space="preserve"> процесса зарядки. Протез должен иметь пассивную ротацию кисти в запястье.</w:t>
            </w:r>
          </w:p>
          <w:p w:rsidR="006745B3" w:rsidRPr="00A33351" w:rsidRDefault="006745B3" w:rsidP="00BD56FA">
            <w:pPr>
              <w:jc w:val="both"/>
              <w:rPr>
                <w:rFonts w:ascii="Times New Roman" w:hAnsi="Times New Roman"/>
              </w:rPr>
            </w:pPr>
            <w:r w:rsidRPr="00A33351">
              <w:rPr>
                <w:rFonts w:ascii="Times New Roman" w:hAnsi="Times New Roman"/>
              </w:rPr>
              <w:t xml:space="preserve">Внешняя гильза должна изготавливаться по модели предплечья методом вакуумной </w:t>
            </w:r>
            <w:proofErr w:type="spellStart"/>
            <w:r w:rsidRPr="00A33351">
              <w:rPr>
                <w:rFonts w:ascii="Times New Roman" w:hAnsi="Times New Roman"/>
              </w:rPr>
              <w:t>ламинации</w:t>
            </w:r>
            <w:proofErr w:type="spellEnd"/>
            <w:r w:rsidRPr="00A33351">
              <w:rPr>
                <w:rFonts w:ascii="Times New Roman" w:hAnsi="Times New Roman"/>
              </w:rPr>
              <w:t xml:space="preserve"> угле- и </w:t>
            </w:r>
            <w:proofErr w:type="spellStart"/>
            <w:r w:rsidRPr="00A33351">
              <w:rPr>
                <w:rFonts w:ascii="Times New Roman" w:hAnsi="Times New Roman"/>
              </w:rPr>
              <w:t>стекловолоконых</w:t>
            </w:r>
            <w:proofErr w:type="spellEnd"/>
            <w:r w:rsidRPr="00A33351">
              <w:rPr>
                <w:rFonts w:ascii="Times New Roman" w:hAnsi="Times New Roman"/>
              </w:rPr>
              <w:t xml:space="preserve"> композитных материалов на основе акриловых смол.</w:t>
            </w:r>
          </w:p>
          <w:p w:rsidR="006745B3" w:rsidRPr="00A33351" w:rsidRDefault="006745B3" w:rsidP="00BD56FA">
            <w:pPr>
              <w:jc w:val="both"/>
              <w:rPr>
                <w:rFonts w:ascii="Times New Roman" w:hAnsi="Times New Roman"/>
              </w:rPr>
            </w:pPr>
            <w:r w:rsidRPr="00A33351">
              <w:rPr>
                <w:rFonts w:ascii="Times New Roman" w:hAnsi="Times New Roman"/>
              </w:rPr>
              <w:t xml:space="preserve">Гильза должна изготавливаться индивидуально по гипсовому слепку культи пользователя из </w:t>
            </w:r>
            <w:proofErr w:type="spellStart"/>
            <w:r w:rsidRPr="00A33351">
              <w:rPr>
                <w:rFonts w:ascii="Times New Roman" w:hAnsi="Times New Roman"/>
              </w:rPr>
              <w:t>термолина</w:t>
            </w:r>
            <w:proofErr w:type="spellEnd"/>
            <w:r w:rsidRPr="00A33351">
              <w:rPr>
                <w:rFonts w:ascii="Times New Roman" w:hAnsi="Times New Roman"/>
              </w:rPr>
              <w:t xml:space="preserve">. Удержание протеза на культе должен осуществляться за счет специальных углублений на гильзе над локтевыми </w:t>
            </w:r>
            <w:proofErr w:type="spellStart"/>
            <w:r w:rsidRPr="00A33351">
              <w:rPr>
                <w:rFonts w:ascii="Times New Roman" w:hAnsi="Times New Roman"/>
              </w:rPr>
              <w:t>надмыщелками</w:t>
            </w:r>
            <w:proofErr w:type="spellEnd"/>
            <w:r w:rsidRPr="00A33351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5B3" w:rsidRPr="00694BF8" w:rsidRDefault="006745B3" w:rsidP="00BD56F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</w:tr>
      <w:tr w:rsidR="006745B3" w:rsidRPr="0009680F" w:rsidTr="006745B3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745B3" w:rsidRPr="00F15C7E" w:rsidRDefault="006745B3" w:rsidP="00BD56FA">
            <w:pPr>
              <w:pStyle w:val="a6"/>
              <w:spacing w:line="240" w:lineRule="atLeast"/>
              <w:ind w:left="87"/>
              <w:rPr>
                <w:rFonts w:ascii="Times New Roman" w:hAnsi="Times New Roman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0"/>
                <w:lang w:eastAsia="zh-CN"/>
              </w:rPr>
              <w:lastRenderedPageBreak/>
              <w:t>Протез предплечья с микропроцессорным управлением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B3" w:rsidRPr="00A33351" w:rsidRDefault="006745B3" w:rsidP="00BD56FA">
            <w:pPr>
              <w:jc w:val="both"/>
              <w:rPr>
                <w:rFonts w:ascii="Times New Roman" w:hAnsi="Times New Roman"/>
              </w:rPr>
            </w:pPr>
            <w:r w:rsidRPr="00A33351">
              <w:rPr>
                <w:rFonts w:ascii="Times New Roman" w:hAnsi="Times New Roman"/>
              </w:rPr>
              <w:t xml:space="preserve">Протез должен быть предназначен для компенсации врожденных и ампутационных дефектов предплечья, при сохранении подвижного локтевого сустава, в том числе при длинной культе (вычленение в лучезапястном суставе или наличие рудимента кисти). Должен подходить для взрослых и детей от 9 лет. Протез должен состоять из модуля кисти с электромеханическим приводом, механизма пассивной ротации кисти, гильзы предплечья (внешняя гильза), </w:t>
            </w:r>
            <w:proofErr w:type="spellStart"/>
            <w:r w:rsidRPr="00A33351">
              <w:rPr>
                <w:rFonts w:ascii="Times New Roman" w:hAnsi="Times New Roman"/>
              </w:rPr>
              <w:t>культеприемной</w:t>
            </w:r>
            <w:proofErr w:type="spellEnd"/>
            <w:r w:rsidRPr="00A33351">
              <w:rPr>
                <w:rFonts w:ascii="Times New Roman" w:hAnsi="Times New Roman"/>
              </w:rPr>
              <w:t xml:space="preserve"> гильзы, систем управления и электроснабжения, включая ЭМГ-датчики, </w:t>
            </w:r>
            <w:proofErr w:type="spellStart"/>
            <w:r w:rsidRPr="00A33351">
              <w:rPr>
                <w:rFonts w:ascii="Times New Roman" w:hAnsi="Times New Roman"/>
              </w:rPr>
              <w:t>электрокабели</w:t>
            </w:r>
            <w:proofErr w:type="spellEnd"/>
            <w:r w:rsidRPr="00A33351">
              <w:rPr>
                <w:rFonts w:ascii="Times New Roman" w:hAnsi="Times New Roman"/>
              </w:rPr>
              <w:t xml:space="preserve">, плату управления, аккумулятор, косметической оболочки (опционально по выбору пользователя). Гильза предплечья должна изготавливаться индивидуально для каждого пользователя, остальные элементы протеза должны иметь стандартные типоразмеры (всего 4 типоразмера). </w:t>
            </w:r>
            <w:proofErr w:type="spellStart"/>
            <w:r w:rsidRPr="00A33351">
              <w:rPr>
                <w:rFonts w:ascii="Times New Roman" w:hAnsi="Times New Roman"/>
              </w:rPr>
              <w:t>Схват</w:t>
            </w:r>
            <w:proofErr w:type="spellEnd"/>
            <w:r w:rsidRPr="00A33351">
              <w:rPr>
                <w:rFonts w:ascii="Times New Roman" w:hAnsi="Times New Roman"/>
              </w:rPr>
              <w:t xml:space="preserve"> и раскрытие пальцев должны быть активные: посредством работы электродвигателя в модуле кисти первый (большой) палец и остальные 4 пальца сводятся к друг другу (</w:t>
            </w:r>
            <w:proofErr w:type="spellStart"/>
            <w:r w:rsidRPr="00A33351">
              <w:rPr>
                <w:rFonts w:ascii="Times New Roman" w:hAnsi="Times New Roman"/>
              </w:rPr>
              <w:t>схват</w:t>
            </w:r>
            <w:proofErr w:type="spellEnd"/>
            <w:r w:rsidRPr="00A33351">
              <w:rPr>
                <w:rFonts w:ascii="Times New Roman" w:hAnsi="Times New Roman"/>
              </w:rPr>
              <w:t xml:space="preserve">) и раскрываются относительно друг друга. В протезе должен быть предусмотрен один </w:t>
            </w:r>
            <w:proofErr w:type="spellStart"/>
            <w:r w:rsidRPr="00A33351">
              <w:rPr>
                <w:rFonts w:ascii="Times New Roman" w:hAnsi="Times New Roman"/>
              </w:rPr>
              <w:t>схват</w:t>
            </w:r>
            <w:proofErr w:type="spellEnd"/>
            <w:r w:rsidRPr="00A33351">
              <w:rPr>
                <w:rFonts w:ascii="Times New Roman" w:hAnsi="Times New Roman"/>
              </w:rPr>
              <w:t xml:space="preserve"> (жест) – щепоть.</w:t>
            </w:r>
          </w:p>
          <w:p w:rsidR="006745B3" w:rsidRPr="00A33351" w:rsidRDefault="006745B3" w:rsidP="00BD56FA">
            <w:pPr>
              <w:jc w:val="both"/>
              <w:rPr>
                <w:rFonts w:ascii="Times New Roman" w:hAnsi="Times New Roman"/>
              </w:rPr>
            </w:pPr>
            <w:r w:rsidRPr="00A33351">
              <w:rPr>
                <w:rFonts w:ascii="Times New Roman" w:hAnsi="Times New Roman"/>
              </w:rPr>
              <w:t xml:space="preserve">Ладонь и кончики пальцев оснащены противоскользящими силиконовыми накладками. Возможна опция с токопроводящими </w:t>
            </w:r>
            <w:proofErr w:type="spellStart"/>
            <w:r w:rsidRPr="00A33351">
              <w:rPr>
                <w:rFonts w:ascii="Times New Roman" w:hAnsi="Times New Roman"/>
              </w:rPr>
              <w:t>напальчиками</w:t>
            </w:r>
            <w:proofErr w:type="spellEnd"/>
            <w:r w:rsidRPr="00A33351">
              <w:rPr>
                <w:rFonts w:ascii="Times New Roman" w:hAnsi="Times New Roman"/>
              </w:rPr>
              <w:t xml:space="preserve"> для работы с сенсорными экранами. Должно быть предусмотрено два варианта внешнего вида кисти протеза по желанию пользователя: дизайнерский пластиковый корпус, окрашенный в выбранный цвет, либо косметическая оболочка.</w:t>
            </w:r>
          </w:p>
          <w:p w:rsidR="006745B3" w:rsidRPr="00A33351" w:rsidRDefault="006745B3" w:rsidP="006745B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33351">
              <w:rPr>
                <w:rFonts w:ascii="Times New Roman" w:hAnsi="Times New Roman"/>
              </w:rPr>
              <w:t xml:space="preserve">Управление протезом должно осуществляться за счет регистрации на поверхности кожи культи </w:t>
            </w:r>
            <w:proofErr w:type="spellStart"/>
            <w:r w:rsidRPr="00A33351">
              <w:rPr>
                <w:rFonts w:ascii="Times New Roman" w:hAnsi="Times New Roman"/>
              </w:rPr>
              <w:t>электромиографического</w:t>
            </w:r>
            <w:proofErr w:type="spellEnd"/>
            <w:r w:rsidRPr="00A33351">
              <w:rPr>
                <w:rFonts w:ascii="Times New Roman" w:hAnsi="Times New Roman"/>
              </w:rPr>
              <w:t xml:space="preserve"> сигнала посредством </w:t>
            </w:r>
            <w:proofErr w:type="spellStart"/>
            <w:r w:rsidRPr="00A33351">
              <w:rPr>
                <w:rFonts w:ascii="Times New Roman" w:hAnsi="Times New Roman"/>
              </w:rPr>
              <w:t>миодатчиков</w:t>
            </w:r>
            <w:proofErr w:type="spellEnd"/>
            <w:r w:rsidRPr="00A33351">
              <w:rPr>
                <w:rFonts w:ascii="Times New Roman" w:hAnsi="Times New Roman"/>
              </w:rPr>
              <w:t xml:space="preserve"> (ЭМГ-датчики), зафиксированных во внутренней </w:t>
            </w:r>
            <w:proofErr w:type="spellStart"/>
            <w:r w:rsidRPr="00A33351">
              <w:rPr>
                <w:rFonts w:ascii="Times New Roman" w:hAnsi="Times New Roman"/>
              </w:rPr>
              <w:t>культеприемной</w:t>
            </w:r>
            <w:proofErr w:type="spellEnd"/>
            <w:r w:rsidRPr="00A33351">
              <w:rPr>
                <w:rFonts w:ascii="Times New Roman" w:hAnsi="Times New Roman"/>
              </w:rPr>
              <w:t xml:space="preserve"> гильзе. Должно быть двухканальное управление протезом. В ка</w:t>
            </w:r>
            <w:r>
              <w:rPr>
                <w:rFonts w:ascii="Times New Roman" w:hAnsi="Times New Roman"/>
              </w:rPr>
              <w:t>честве источника энергии должен</w:t>
            </w:r>
            <w:r w:rsidRPr="00A33351">
              <w:rPr>
                <w:rFonts w:ascii="Times New Roman" w:hAnsi="Times New Roman"/>
              </w:rPr>
              <w:t xml:space="preserve"> служить заряжаемый, несъемный литий-ионный аккумулятор с защитой от перезаряда. Зарядка-стандартный разъем </w:t>
            </w:r>
            <w:r w:rsidRPr="00A33351">
              <w:rPr>
                <w:rFonts w:ascii="Times New Roman" w:hAnsi="Times New Roman"/>
                <w:lang w:val="en-US"/>
              </w:rPr>
              <w:t>USB</w:t>
            </w:r>
            <w:r w:rsidRPr="00A33351">
              <w:rPr>
                <w:rFonts w:ascii="Times New Roman" w:hAnsi="Times New Roman"/>
              </w:rPr>
              <w:t>-</w:t>
            </w:r>
            <w:r w:rsidRPr="00A33351">
              <w:rPr>
                <w:rFonts w:ascii="Times New Roman" w:hAnsi="Times New Roman"/>
                <w:lang w:val="en-US"/>
              </w:rPr>
              <w:t>Type</w:t>
            </w:r>
            <w:r w:rsidRPr="00A33351">
              <w:rPr>
                <w:rFonts w:ascii="Times New Roman" w:hAnsi="Times New Roman"/>
              </w:rPr>
              <w:t xml:space="preserve"> </w:t>
            </w:r>
            <w:r w:rsidRPr="00A33351">
              <w:rPr>
                <w:rFonts w:ascii="Times New Roman" w:hAnsi="Times New Roman"/>
                <w:lang w:val="en-US"/>
              </w:rPr>
              <w:t>C</w:t>
            </w:r>
            <w:r w:rsidRPr="00A33351">
              <w:rPr>
                <w:rFonts w:ascii="Times New Roman" w:hAnsi="Times New Roman"/>
              </w:rPr>
              <w:t xml:space="preserve">. </w:t>
            </w:r>
            <w:proofErr w:type="spellStart"/>
            <w:r w:rsidRPr="00A33351">
              <w:rPr>
                <w:rFonts w:ascii="Times New Roman" w:hAnsi="Times New Roman"/>
              </w:rPr>
              <w:t>Светоиндикация</w:t>
            </w:r>
            <w:proofErr w:type="spellEnd"/>
            <w:r w:rsidRPr="00A33351">
              <w:rPr>
                <w:rFonts w:ascii="Times New Roman" w:hAnsi="Times New Roman"/>
              </w:rPr>
              <w:t xml:space="preserve"> процесса зарядки. Протез должен иметь пассивную ротацию кисти относительно предплечья. </w:t>
            </w:r>
            <w:r w:rsidRPr="00A33351">
              <w:rPr>
                <w:rFonts w:ascii="Times New Roman" w:hAnsi="Times New Roman"/>
                <w:color w:val="000000"/>
              </w:rPr>
              <w:t>Внешняя гильза предплечья должна изготавливаться по модели предплечья мето</w:t>
            </w:r>
            <w:r>
              <w:rPr>
                <w:rFonts w:ascii="Times New Roman" w:hAnsi="Times New Roman"/>
                <w:color w:val="000000"/>
              </w:rPr>
              <w:t xml:space="preserve">дом вакуумной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ламинации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угле- и</w:t>
            </w:r>
            <w:r w:rsidRPr="00A33351">
              <w:rPr>
                <w:rFonts w:ascii="Times New Roman" w:hAnsi="Times New Roman"/>
                <w:color w:val="000000"/>
              </w:rPr>
              <w:t xml:space="preserve"> стекловолоконных композитных материалов на основе акриловых смол.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Культеприемная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гильза должна </w:t>
            </w:r>
            <w:r w:rsidRPr="00A33351">
              <w:rPr>
                <w:rFonts w:ascii="Times New Roman" w:hAnsi="Times New Roman"/>
                <w:color w:val="000000"/>
              </w:rPr>
              <w:t xml:space="preserve">изготавливаться индивидуально по гипсовому слепку культи пользователя из </w:t>
            </w:r>
            <w:proofErr w:type="spellStart"/>
            <w:r w:rsidRPr="00A33351">
              <w:rPr>
                <w:rFonts w:ascii="Times New Roman" w:hAnsi="Times New Roman"/>
                <w:color w:val="000000"/>
              </w:rPr>
              <w:t>термолина</w:t>
            </w:r>
            <w:proofErr w:type="spellEnd"/>
            <w:r w:rsidRPr="00A33351">
              <w:rPr>
                <w:rFonts w:ascii="Times New Roman" w:hAnsi="Times New Roman"/>
                <w:color w:val="000000"/>
              </w:rPr>
              <w:t xml:space="preserve">. Удержание протеза на культе должно осуществляться за счет специальных углублений на гильзе над локтевыми </w:t>
            </w:r>
            <w:proofErr w:type="spellStart"/>
            <w:r w:rsidRPr="00A33351">
              <w:rPr>
                <w:rFonts w:ascii="Times New Roman" w:hAnsi="Times New Roman"/>
                <w:color w:val="000000"/>
              </w:rPr>
              <w:t>надмыщелками</w:t>
            </w:r>
            <w:proofErr w:type="spellEnd"/>
            <w:r w:rsidRPr="00A3335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5B3" w:rsidRDefault="006745B3" w:rsidP="00BD56F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6745B3" w:rsidRPr="0009680F" w:rsidTr="006745B3">
        <w:tc>
          <w:tcPr>
            <w:tcW w:w="1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5B3" w:rsidRPr="001D472A" w:rsidRDefault="006745B3" w:rsidP="00BD56F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D472A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8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45B3" w:rsidRPr="0009680F" w:rsidRDefault="006745B3" w:rsidP="00BD56FA">
            <w:pPr>
              <w:pStyle w:val="a5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45B3" w:rsidRPr="00F15C7E" w:rsidRDefault="006745B3" w:rsidP="00BD56FA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</w:p>
        </w:tc>
      </w:tr>
    </w:tbl>
    <w:p w:rsidR="006745B3" w:rsidRPr="007F026C" w:rsidRDefault="006745B3" w:rsidP="006745B3">
      <w:pPr>
        <w:ind w:right="-144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Требования к качеству работ</w:t>
      </w:r>
    </w:p>
    <w:p w:rsidR="006745B3" w:rsidRPr="00433FFE" w:rsidRDefault="006745B3" w:rsidP="006745B3">
      <w:pPr>
        <w:ind w:firstLine="567"/>
        <w:jc w:val="both"/>
        <w:rPr>
          <w:rFonts w:ascii="Times New Roman" w:hAnsi="Times New Roman"/>
          <w:sz w:val="24"/>
        </w:rPr>
      </w:pPr>
      <w:r w:rsidRPr="00C43B24">
        <w:rPr>
          <w:rFonts w:ascii="Times New Roman" w:hAnsi="Times New Roman"/>
        </w:rPr>
        <w:t xml:space="preserve">Протезы </w:t>
      </w:r>
      <w:r>
        <w:rPr>
          <w:rFonts w:ascii="Times New Roman" w:hAnsi="Times New Roman"/>
        </w:rPr>
        <w:t xml:space="preserve">верхних конечностей </w:t>
      </w:r>
      <w:r w:rsidRPr="00C43B24">
        <w:rPr>
          <w:rFonts w:ascii="Times New Roman" w:hAnsi="Times New Roman"/>
        </w:rPr>
        <w:t>должны соответствовать требованиям   Национального стандарта Российской Федерации</w:t>
      </w:r>
      <w:r w:rsidRPr="00433FFE">
        <w:rPr>
          <w:rFonts w:ascii="Times New Roman" w:hAnsi="Times New Roman"/>
        </w:rPr>
        <w:t xml:space="preserve"> </w:t>
      </w:r>
      <w:r w:rsidRPr="004E05B8">
        <w:rPr>
          <w:rFonts w:ascii="Times New Roman" w:hAnsi="Times New Roman"/>
        </w:rPr>
        <w:t>ГОСТ Р 51632-20</w:t>
      </w:r>
      <w:r>
        <w:rPr>
          <w:rFonts w:ascii="Times New Roman" w:hAnsi="Times New Roman"/>
        </w:rPr>
        <w:t>21</w:t>
      </w:r>
      <w:r w:rsidRPr="004E05B8">
        <w:rPr>
          <w:rFonts w:ascii="Times New Roman" w:hAnsi="Times New Roman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ascii="Times New Roman" w:hAnsi="Times New Roman"/>
          <w:color w:val="000000"/>
        </w:rPr>
        <w:t>;</w:t>
      </w:r>
      <w:r w:rsidRPr="00C43B24">
        <w:rPr>
          <w:rFonts w:ascii="Times New Roman" w:hAnsi="Times New Roman"/>
        </w:rPr>
        <w:t xml:space="preserve"> ГОСТ Р 52770-2016 «Изделия медицинские. Требования безопасности. Методы санитарно-химических и токсикологических испытаний». ГОСТ ИСО 10993-1-20</w:t>
      </w:r>
      <w:r>
        <w:rPr>
          <w:rFonts w:ascii="Times New Roman" w:hAnsi="Times New Roman"/>
        </w:rPr>
        <w:t>2</w:t>
      </w:r>
      <w:r w:rsidRPr="00C43B24">
        <w:rPr>
          <w:rFonts w:ascii="Times New Roman" w:hAnsi="Times New Roman"/>
        </w:rPr>
        <w:t xml:space="preserve">1 </w:t>
      </w:r>
      <w:r w:rsidRPr="00C43B24">
        <w:rPr>
          <w:rFonts w:ascii="Times New Roman" w:hAnsi="Times New Roman"/>
        </w:rPr>
        <w:lastRenderedPageBreak/>
        <w:t>"Изделия медицинские. Оценка биологического действия медицинских изделий. Часть 1. Оценка и исследования",</w:t>
      </w:r>
      <w:r>
        <w:rPr>
          <w:rFonts w:ascii="Times New Roman" w:hAnsi="Times New Roman"/>
        </w:rPr>
        <w:t xml:space="preserve"> </w:t>
      </w:r>
      <w:r w:rsidRPr="00C43B24">
        <w:rPr>
          <w:rFonts w:ascii="Times New Roman" w:hAnsi="Times New Roman"/>
        </w:rPr>
        <w:t xml:space="preserve">10993-5-2011 "Изделия медицинские. Оценка биологического действия медицинских изделий. Часть 5. Исследования на </w:t>
      </w:r>
      <w:proofErr w:type="spellStart"/>
      <w:r w:rsidRPr="00C43B24">
        <w:rPr>
          <w:rFonts w:ascii="Times New Roman" w:hAnsi="Times New Roman"/>
        </w:rPr>
        <w:t>цитотоксичность</w:t>
      </w:r>
      <w:proofErr w:type="spellEnd"/>
      <w:r w:rsidRPr="00C43B24">
        <w:rPr>
          <w:rFonts w:ascii="Times New Roman" w:hAnsi="Times New Roman"/>
        </w:rPr>
        <w:t xml:space="preserve">: методы </w:t>
      </w:r>
      <w:proofErr w:type="spellStart"/>
      <w:r w:rsidRPr="00C43B24">
        <w:rPr>
          <w:rFonts w:ascii="Times New Roman" w:hAnsi="Times New Roman"/>
        </w:rPr>
        <w:t>in</w:t>
      </w:r>
      <w:proofErr w:type="spellEnd"/>
      <w:r w:rsidRPr="00C43B24">
        <w:rPr>
          <w:rFonts w:ascii="Times New Roman" w:hAnsi="Times New Roman"/>
        </w:rPr>
        <w:t xml:space="preserve"> </w:t>
      </w:r>
      <w:proofErr w:type="spellStart"/>
      <w:r w:rsidRPr="00C43B24">
        <w:rPr>
          <w:rFonts w:ascii="Times New Roman" w:hAnsi="Times New Roman"/>
        </w:rPr>
        <w:t>vitro</w:t>
      </w:r>
      <w:proofErr w:type="spellEnd"/>
      <w:r w:rsidRPr="00C43B24">
        <w:rPr>
          <w:rFonts w:ascii="Times New Roman" w:hAnsi="Times New Roman"/>
        </w:rPr>
        <w:t xml:space="preserve"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C43B24">
        <w:rPr>
          <w:rFonts w:ascii="Times New Roman" w:hAnsi="Times New Roman"/>
        </w:rPr>
        <w:t>ортезы</w:t>
      </w:r>
      <w:proofErr w:type="spellEnd"/>
      <w:r w:rsidRPr="00C43B24">
        <w:rPr>
          <w:rFonts w:ascii="Times New Roman" w:hAnsi="Times New Roman"/>
        </w:rPr>
        <w:t xml:space="preserve"> наружные. Требования и методы испытаний». </w:t>
      </w:r>
      <w:r w:rsidRPr="00C43B24">
        <w:rPr>
          <w:rFonts w:ascii="Times New Roman" w:eastAsia="Calibri" w:hAnsi="Times New Roman"/>
        </w:rPr>
        <w:t xml:space="preserve">ГОСТ Р 51819-2017 «Протезирование и </w:t>
      </w:r>
      <w:proofErr w:type="spellStart"/>
      <w:r w:rsidRPr="00C43B24">
        <w:rPr>
          <w:rFonts w:ascii="Times New Roman" w:eastAsia="Calibri" w:hAnsi="Times New Roman"/>
        </w:rPr>
        <w:t>ортезировани</w:t>
      </w:r>
      <w:r>
        <w:rPr>
          <w:rFonts w:ascii="Times New Roman" w:eastAsia="Calibri" w:hAnsi="Times New Roman"/>
        </w:rPr>
        <w:t>е</w:t>
      </w:r>
      <w:proofErr w:type="spellEnd"/>
      <w:r>
        <w:rPr>
          <w:rFonts w:ascii="Times New Roman" w:eastAsia="Calibri" w:hAnsi="Times New Roman"/>
        </w:rPr>
        <w:t xml:space="preserve"> верхних и нижних конечностей», </w:t>
      </w:r>
      <w:r w:rsidRPr="00B54E34">
        <w:rPr>
          <w:rFonts w:ascii="Times New Roman" w:hAnsi="Times New Roman"/>
        </w:rPr>
        <w:t>ГОСТ Р 58267-2018</w:t>
      </w:r>
      <w:r w:rsidRPr="003820E7">
        <w:rPr>
          <w:rFonts w:ascii="Times New Roman" w:hAnsi="Times New Roman"/>
          <w:sz w:val="24"/>
        </w:rPr>
        <w:t xml:space="preserve"> «Протезы наружные верхних конечностей. Термины и определения. Классификация.»</w:t>
      </w:r>
      <w:r w:rsidRPr="00C43B24">
        <w:rPr>
          <w:rFonts w:ascii="Times New Roman" w:eastAsia="Calibri" w:hAnsi="Times New Roman"/>
        </w:rPr>
        <w:t xml:space="preserve"> </w:t>
      </w:r>
    </w:p>
    <w:p w:rsidR="006745B3" w:rsidRPr="00F15C7E" w:rsidRDefault="006745B3" w:rsidP="006745B3">
      <w:pPr>
        <w:snapToGrid w:val="0"/>
        <w:ind w:firstLine="567"/>
        <w:jc w:val="both"/>
        <w:rPr>
          <w:rFonts w:ascii="Times New Roman" w:hAnsi="Times New Roman"/>
        </w:rPr>
      </w:pPr>
      <w:r w:rsidRPr="00F15C7E">
        <w:rPr>
          <w:rFonts w:ascii="Times New Roman" w:hAnsi="Times New Roman"/>
        </w:rPr>
        <w:t>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6745B3" w:rsidRPr="00F15C7E" w:rsidRDefault="006745B3" w:rsidP="006745B3">
      <w:pPr>
        <w:snapToGrid w:val="0"/>
        <w:ind w:firstLine="567"/>
        <w:jc w:val="both"/>
        <w:rPr>
          <w:rFonts w:ascii="Times New Roman" w:hAnsi="Times New Roman"/>
          <w:b/>
          <w:bCs/>
        </w:rPr>
      </w:pPr>
      <w:r w:rsidRPr="00F15C7E">
        <w:rPr>
          <w:rFonts w:ascii="Times New Roman" w:hAnsi="Times New Roman"/>
        </w:rPr>
        <w:t>При использовании протеза по назначению не создается угрозы для жизни и здоровья потребителя, окружающей среды, а также использование протезов не причиняют вред имуществу пользователя при его эксплуатации.</w:t>
      </w:r>
    </w:p>
    <w:p w:rsidR="006745B3" w:rsidRPr="00F15C7E" w:rsidRDefault="006745B3" w:rsidP="006745B3">
      <w:pPr>
        <w:ind w:firstLine="567"/>
        <w:jc w:val="both"/>
        <w:rPr>
          <w:rFonts w:ascii="Times New Roman" w:hAnsi="Times New Roman"/>
          <w:color w:val="000000"/>
        </w:rPr>
      </w:pPr>
      <w:r w:rsidRPr="00F15C7E">
        <w:rPr>
          <w:rFonts w:ascii="Times New Roman" w:hAnsi="Times New Roman"/>
          <w:color w:val="000000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6745B3" w:rsidRPr="00F15C7E" w:rsidRDefault="006745B3" w:rsidP="006745B3">
      <w:pPr>
        <w:spacing w:line="228" w:lineRule="auto"/>
        <w:ind w:firstLine="567"/>
        <w:jc w:val="both"/>
        <w:rPr>
          <w:rFonts w:ascii="Times New Roman" w:hAnsi="Times New Roman"/>
          <w:b/>
          <w:bCs/>
        </w:rPr>
      </w:pPr>
      <w:r w:rsidRPr="00F15C7E">
        <w:rPr>
          <w:rFonts w:ascii="Times New Roman" w:hAnsi="Times New Roman"/>
          <w:b/>
          <w:bCs/>
        </w:rPr>
        <w:t xml:space="preserve">Срок пользования: </w:t>
      </w:r>
    </w:p>
    <w:p w:rsidR="006745B3" w:rsidRPr="00A33351" w:rsidRDefault="006745B3" w:rsidP="006745B3">
      <w:pPr>
        <w:spacing w:line="228" w:lineRule="auto"/>
        <w:ind w:left="56" w:firstLine="567"/>
        <w:jc w:val="both"/>
        <w:rPr>
          <w:rFonts w:ascii="Times New Roman" w:hAnsi="Times New Roman"/>
          <w:sz w:val="21"/>
          <w:szCs w:val="21"/>
        </w:rPr>
      </w:pPr>
      <w:r w:rsidRPr="00A33351">
        <w:rPr>
          <w:rFonts w:ascii="Times New Roman" w:hAnsi="Times New Roman"/>
          <w:sz w:val="21"/>
          <w:szCs w:val="21"/>
        </w:rPr>
        <w:t>-П</w:t>
      </w:r>
      <w:r w:rsidRPr="00A33351">
        <w:rPr>
          <w:rFonts w:ascii="Times New Roman" w:hAnsi="Times New Roman"/>
          <w:sz w:val="21"/>
          <w:szCs w:val="21"/>
          <w:lang w:eastAsia="zh-CN"/>
        </w:rPr>
        <w:t xml:space="preserve">ротез </w:t>
      </w:r>
      <w:r w:rsidRPr="00A33351">
        <w:rPr>
          <w:rFonts w:ascii="Times New Roman" w:hAnsi="Times New Roman"/>
          <w:sz w:val="21"/>
          <w:szCs w:val="21"/>
        </w:rPr>
        <w:t xml:space="preserve">кисти с микропроцессорным управлением, в том числе при вычленении и частичном вычленении кисти не менее 2 лет </w:t>
      </w:r>
      <w:r w:rsidRPr="00A33351">
        <w:rPr>
          <w:rFonts w:ascii="Times New Roman" w:hAnsi="Times New Roman"/>
          <w:color w:val="000000"/>
          <w:sz w:val="21"/>
          <w:szCs w:val="21"/>
        </w:rPr>
        <w:t>с даты предоставления его Получателю. Срок гарантии</w:t>
      </w:r>
      <w:r w:rsidR="004B6226">
        <w:rPr>
          <w:rFonts w:ascii="Times New Roman" w:hAnsi="Times New Roman"/>
          <w:color w:val="000000"/>
          <w:sz w:val="21"/>
          <w:szCs w:val="21"/>
        </w:rPr>
        <w:t xml:space="preserve"> не менее</w:t>
      </w:r>
      <w:r w:rsidRPr="00A33351">
        <w:rPr>
          <w:rFonts w:ascii="Times New Roman" w:hAnsi="Times New Roman"/>
          <w:color w:val="000000"/>
          <w:sz w:val="21"/>
          <w:szCs w:val="21"/>
        </w:rPr>
        <w:t xml:space="preserve"> 12 месяцев</w:t>
      </w:r>
      <w:r w:rsidRPr="00A33351">
        <w:rPr>
          <w:rFonts w:ascii="Times New Roman" w:hAnsi="Times New Roman"/>
          <w:sz w:val="21"/>
          <w:szCs w:val="21"/>
        </w:rPr>
        <w:t>;</w:t>
      </w:r>
    </w:p>
    <w:p w:rsidR="006745B3" w:rsidRDefault="006745B3" w:rsidP="006745B3">
      <w:pPr>
        <w:spacing w:line="228" w:lineRule="auto"/>
        <w:ind w:left="56" w:firstLine="511"/>
        <w:jc w:val="both"/>
        <w:rPr>
          <w:rFonts w:ascii="Times New Roman" w:hAnsi="Times New Roman"/>
          <w:sz w:val="21"/>
          <w:szCs w:val="21"/>
        </w:rPr>
      </w:pPr>
      <w:r w:rsidRPr="00A33351">
        <w:rPr>
          <w:rFonts w:ascii="Times New Roman" w:hAnsi="Times New Roman"/>
          <w:sz w:val="21"/>
          <w:szCs w:val="21"/>
        </w:rPr>
        <w:t>-П</w:t>
      </w:r>
      <w:r w:rsidRPr="00A33351">
        <w:rPr>
          <w:rFonts w:ascii="Times New Roman" w:hAnsi="Times New Roman"/>
          <w:sz w:val="21"/>
          <w:szCs w:val="21"/>
          <w:lang w:eastAsia="zh-CN"/>
        </w:rPr>
        <w:t xml:space="preserve">ротез </w:t>
      </w:r>
      <w:r w:rsidRPr="00A33351">
        <w:rPr>
          <w:rFonts w:ascii="Times New Roman" w:hAnsi="Times New Roman"/>
          <w:sz w:val="21"/>
          <w:szCs w:val="21"/>
        </w:rPr>
        <w:t xml:space="preserve">предплечья с микропроцессорным управлением не менее 3 лет </w:t>
      </w:r>
      <w:r w:rsidRPr="00A33351">
        <w:rPr>
          <w:rFonts w:ascii="Times New Roman" w:hAnsi="Times New Roman"/>
          <w:color w:val="000000"/>
          <w:sz w:val="21"/>
          <w:szCs w:val="21"/>
        </w:rPr>
        <w:t>с даты предоставления его Получателю. Срок гарантии</w:t>
      </w:r>
      <w:r w:rsidR="004B6226">
        <w:rPr>
          <w:rFonts w:ascii="Times New Roman" w:hAnsi="Times New Roman"/>
          <w:color w:val="000000"/>
          <w:sz w:val="21"/>
          <w:szCs w:val="21"/>
        </w:rPr>
        <w:t xml:space="preserve"> не менее</w:t>
      </w:r>
      <w:r w:rsidRPr="00A33351">
        <w:rPr>
          <w:rFonts w:ascii="Times New Roman" w:hAnsi="Times New Roman"/>
          <w:color w:val="000000"/>
          <w:sz w:val="21"/>
          <w:szCs w:val="21"/>
        </w:rPr>
        <w:t xml:space="preserve"> 12 месяцев</w:t>
      </w:r>
      <w:r w:rsidRPr="00A33351">
        <w:rPr>
          <w:rFonts w:ascii="Times New Roman" w:hAnsi="Times New Roman"/>
          <w:sz w:val="21"/>
          <w:szCs w:val="21"/>
        </w:rPr>
        <w:t>.</w:t>
      </w:r>
    </w:p>
    <w:p w:rsidR="006745B3" w:rsidRDefault="006745B3" w:rsidP="006745B3">
      <w:pPr>
        <w:spacing w:line="228" w:lineRule="auto"/>
        <w:ind w:left="56" w:firstLine="511"/>
        <w:jc w:val="both"/>
        <w:rPr>
          <w:rFonts w:ascii="Times New Roman" w:hAnsi="Times New Roman"/>
          <w:color w:val="000000"/>
        </w:rPr>
      </w:pPr>
      <w:r w:rsidRPr="00F15C7E">
        <w:rPr>
          <w:rFonts w:ascii="Times New Roman" w:hAnsi="Times New Roman"/>
          <w:color w:val="000000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394D75" w:rsidRPr="00BE691D" w:rsidRDefault="00394D75" w:rsidP="00F94045">
      <w:pPr>
        <w:ind w:firstLine="559"/>
        <w:jc w:val="both"/>
        <w:rPr>
          <w:rFonts w:ascii="Times New Roman" w:eastAsia="Lucida Sans Unicode" w:hAnsi="Times New Roman" w:cs="Times New Roman"/>
          <w:bCs/>
          <w:color w:val="000000"/>
          <w:spacing w:val="-1"/>
        </w:rPr>
      </w:pPr>
      <w:r w:rsidRPr="00F15C7E">
        <w:rPr>
          <w:rFonts w:ascii="Times New Roman" w:eastAsia="Lucida Sans Unicode" w:hAnsi="Times New Roman"/>
          <w:b/>
          <w:bCs/>
          <w:color w:val="000000"/>
          <w:spacing w:val="-1"/>
        </w:rPr>
        <w:t xml:space="preserve">Место выполнения </w:t>
      </w:r>
      <w:r w:rsidR="00BE691D" w:rsidRPr="00BE691D">
        <w:rPr>
          <w:rFonts w:ascii="Times New Roman" w:eastAsia="Lucida Sans Unicode" w:hAnsi="Times New Roman" w:cs="Times New Roman"/>
          <w:b/>
          <w:bCs/>
          <w:color w:val="000000"/>
          <w:spacing w:val="-1"/>
        </w:rPr>
        <w:t xml:space="preserve">работ: </w:t>
      </w:r>
      <w:r w:rsidR="00BE691D" w:rsidRPr="00BE691D">
        <w:rPr>
          <w:rFonts w:ascii="Times New Roman" w:hAnsi="Times New Roman" w:cs="Times New Roman"/>
        </w:rPr>
        <w:t>Российская</w:t>
      </w:r>
      <w:r w:rsidR="00BE691D" w:rsidRPr="00BE691D">
        <w:rPr>
          <w:rFonts w:ascii="Times New Roman" w:hAnsi="Times New Roman" w:cs="Times New Roman"/>
        </w:rPr>
        <w:t xml:space="preserve"> Федерация, по месту нахождения Исполнителя. </w:t>
      </w:r>
      <w:r w:rsidR="00BE691D" w:rsidRPr="00BE691D">
        <w:rPr>
          <w:rFonts w:ascii="Times New Roman" w:eastAsia="Lucida Sans Unicode" w:hAnsi="Times New Roman" w:cs="Times New Roman"/>
          <w:bCs/>
          <w:color w:val="000000"/>
          <w:spacing w:val="-1"/>
        </w:rPr>
        <w:t>Выполнение работ по контракту осуществляется Исполнителем на основании сведений о Получателях, которым Заказчиком выданы Направления на обеспечение протезами.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6745B3" w:rsidRDefault="006745B3" w:rsidP="006745B3">
      <w:pPr>
        <w:spacing w:line="228" w:lineRule="auto"/>
        <w:ind w:left="56" w:firstLine="511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6745B3" w:rsidRDefault="006745B3" w:rsidP="006745B3">
      <w:pPr>
        <w:spacing w:line="228" w:lineRule="auto"/>
        <w:ind w:left="56" w:firstLine="511"/>
        <w:jc w:val="both"/>
        <w:rPr>
          <w:rFonts w:ascii="Times New Roman" w:hAnsi="Times New Roman"/>
          <w:color w:val="000000"/>
        </w:rPr>
      </w:pPr>
    </w:p>
    <w:tbl>
      <w:tblPr>
        <w:tblW w:w="10154" w:type="dxa"/>
        <w:tblInd w:w="-818" w:type="dxa"/>
        <w:tblLayout w:type="fixed"/>
        <w:tblLook w:val="0000" w:firstRow="0" w:lastRow="0" w:firstColumn="0" w:lastColumn="0" w:noHBand="0" w:noVBand="0"/>
      </w:tblPr>
      <w:tblGrid>
        <w:gridCol w:w="5296"/>
        <w:gridCol w:w="4858"/>
      </w:tblGrid>
      <w:tr w:rsidR="006745B3" w:rsidRPr="009E48D7" w:rsidTr="00BD56FA">
        <w:tc>
          <w:tcPr>
            <w:tcW w:w="5296" w:type="dxa"/>
            <w:shd w:val="clear" w:color="auto" w:fill="auto"/>
          </w:tcPr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szCs w:val="20"/>
              </w:rPr>
            </w:pPr>
          </w:p>
          <w:p w:rsidR="006745B3" w:rsidRPr="009E48D7" w:rsidRDefault="006745B3" w:rsidP="00BD56FA">
            <w:pPr>
              <w:tabs>
                <w:tab w:val="left" w:pos="803"/>
                <w:tab w:val="left" w:pos="5670"/>
              </w:tabs>
              <w:snapToGrid w:val="0"/>
              <w:ind w:left="-4" w:right="-104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58" w:type="dxa"/>
            <w:shd w:val="clear" w:color="auto" w:fill="auto"/>
          </w:tcPr>
          <w:p w:rsidR="006745B3" w:rsidRPr="009E48D7" w:rsidRDefault="006745B3" w:rsidP="00BD56FA">
            <w:pPr>
              <w:tabs>
                <w:tab w:val="left" w:pos="5670"/>
              </w:tabs>
              <w:snapToGrid w:val="0"/>
              <w:ind w:right="-104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538D8" w:rsidRPr="0067503A" w:rsidRDefault="008538D8" w:rsidP="005A0F6A">
      <w:pPr>
        <w:jc w:val="both"/>
        <w:rPr>
          <w:rFonts w:ascii="Times New Roman" w:hAnsi="Times New Roman"/>
        </w:rPr>
      </w:pPr>
    </w:p>
    <w:sectPr w:rsidR="008538D8" w:rsidRPr="0067503A" w:rsidSect="006745B3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D6C08"/>
    <w:multiLevelType w:val="multilevel"/>
    <w:tmpl w:val="83DC357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30734"/>
    <w:multiLevelType w:val="multilevel"/>
    <w:tmpl w:val="1C18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2FA8"/>
    <w:rsid w:val="00014490"/>
    <w:rsid w:val="000166DE"/>
    <w:rsid w:val="00023722"/>
    <w:rsid w:val="00023762"/>
    <w:rsid w:val="00037692"/>
    <w:rsid w:val="00043BB2"/>
    <w:rsid w:val="00064930"/>
    <w:rsid w:val="0007073C"/>
    <w:rsid w:val="00072DDD"/>
    <w:rsid w:val="00082B96"/>
    <w:rsid w:val="000A7266"/>
    <w:rsid w:val="000B3C25"/>
    <w:rsid w:val="000C2732"/>
    <w:rsid w:val="000E0A23"/>
    <w:rsid w:val="000F70F9"/>
    <w:rsid w:val="000F710C"/>
    <w:rsid w:val="00112B84"/>
    <w:rsid w:val="001234D2"/>
    <w:rsid w:val="00127D1F"/>
    <w:rsid w:val="001B09BB"/>
    <w:rsid w:val="001D1DB1"/>
    <w:rsid w:val="001D5B4B"/>
    <w:rsid w:val="001F6CE5"/>
    <w:rsid w:val="0020390C"/>
    <w:rsid w:val="0020571D"/>
    <w:rsid w:val="0024017C"/>
    <w:rsid w:val="00241666"/>
    <w:rsid w:val="00244134"/>
    <w:rsid w:val="002630D1"/>
    <w:rsid w:val="00310983"/>
    <w:rsid w:val="00313B50"/>
    <w:rsid w:val="00314561"/>
    <w:rsid w:val="00327269"/>
    <w:rsid w:val="00353EFD"/>
    <w:rsid w:val="0038625C"/>
    <w:rsid w:val="00394D75"/>
    <w:rsid w:val="003A0460"/>
    <w:rsid w:val="003A0E88"/>
    <w:rsid w:val="003D5100"/>
    <w:rsid w:val="00425026"/>
    <w:rsid w:val="00454F86"/>
    <w:rsid w:val="004657B4"/>
    <w:rsid w:val="004671D7"/>
    <w:rsid w:val="004A5AC2"/>
    <w:rsid w:val="004B6226"/>
    <w:rsid w:val="004C10A3"/>
    <w:rsid w:val="004D699C"/>
    <w:rsid w:val="004E3926"/>
    <w:rsid w:val="0051052B"/>
    <w:rsid w:val="0053069F"/>
    <w:rsid w:val="00535CA9"/>
    <w:rsid w:val="00545620"/>
    <w:rsid w:val="00553773"/>
    <w:rsid w:val="00560707"/>
    <w:rsid w:val="00563EEB"/>
    <w:rsid w:val="0056456E"/>
    <w:rsid w:val="00580091"/>
    <w:rsid w:val="005A0F6A"/>
    <w:rsid w:val="005D41DA"/>
    <w:rsid w:val="00605B2D"/>
    <w:rsid w:val="00607C79"/>
    <w:rsid w:val="00625DD0"/>
    <w:rsid w:val="00642012"/>
    <w:rsid w:val="00674087"/>
    <w:rsid w:val="006745B3"/>
    <w:rsid w:val="0067503A"/>
    <w:rsid w:val="00682FD9"/>
    <w:rsid w:val="006861BC"/>
    <w:rsid w:val="006A7DF6"/>
    <w:rsid w:val="006B7B78"/>
    <w:rsid w:val="006C054E"/>
    <w:rsid w:val="006C2DA0"/>
    <w:rsid w:val="006C5539"/>
    <w:rsid w:val="006D1E38"/>
    <w:rsid w:val="006D77A2"/>
    <w:rsid w:val="006D79AE"/>
    <w:rsid w:val="0072319F"/>
    <w:rsid w:val="007269D6"/>
    <w:rsid w:val="007307BC"/>
    <w:rsid w:val="00744139"/>
    <w:rsid w:val="0077400B"/>
    <w:rsid w:val="00774279"/>
    <w:rsid w:val="00775DC5"/>
    <w:rsid w:val="0077660C"/>
    <w:rsid w:val="00785CE7"/>
    <w:rsid w:val="00797866"/>
    <w:rsid w:val="007D0819"/>
    <w:rsid w:val="007E2059"/>
    <w:rsid w:val="0083218E"/>
    <w:rsid w:val="008538D8"/>
    <w:rsid w:val="008A397F"/>
    <w:rsid w:val="008E2EF0"/>
    <w:rsid w:val="008F4440"/>
    <w:rsid w:val="009042D6"/>
    <w:rsid w:val="00914896"/>
    <w:rsid w:val="009217F2"/>
    <w:rsid w:val="0093268D"/>
    <w:rsid w:val="00984265"/>
    <w:rsid w:val="0099113F"/>
    <w:rsid w:val="009937A3"/>
    <w:rsid w:val="00993B69"/>
    <w:rsid w:val="009B6B3F"/>
    <w:rsid w:val="009E15E5"/>
    <w:rsid w:val="009F76A0"/>
    <w:rsid w:val="00A14566"/>
    <w:rsid w:val="00A17F83"/>
    <w:rsid w:val="00A2676B"/>
    <w:rsid w:val="00A3613D"/>
    <w:rsid w:val="00A419BB"/>
    <w:rsid w:val="00A51D10"/>
    <w:rsid w:val="00AA2BCA"/>
    <w:rsid w:val="00B022D4"/>
    <w:rsid w:val="00B031CE"/>
    <w:rsid w:val="00B276F7"/>
    <w:rsid w:val="00B4498D"/>
    <w:rsid w:val="00B63BC4"/>
    <w:rsid w:val="00B954C9"/>
    <w:rsid w:val="00BA1E19"/>
    <w:rsid w:val="00BB215B"/>
    <w:rsid w:val="00BB64FB"/>
    <w:rsid w:val="00BC716F"/>
    <w:rsid w:val="00BE691D"/>
    <w:rsid w:val="00BF0B1E"/>
    <w:rsid w:val="00C06E9A"/>
    <w:rsid w:val="00C13A8D"/>
    <w:rsid w:val="00C61C85"/>
    <w:rsid w:val="00C638F6"/>
    <w:rsid w:val="00C70F49"/>
    <w:rsid w:val="00C74B93"/>
    <w:rsid w:val="00CC3C2F"/>
    <w:rsid w:val="00CC4C76"/>
    <w:rsid w:val="00CF3B03"/>
    <w:rsid w:val="00CF4273"/>
    <w:rsid w:val="00D2213D"/>
    <w:rsid w:val="00D24FD5"/>
    <w:rsid w:val="00D82B9B"/>
    <w:rsid w:val="00D92759"/>
    <w:rsid w:val="00DA5C38"/>
    <w:rsid w:val="00DC394A"/>
    <w:rsid w:val="00DC4BA7"/>
    <w:rsid w:val="00DF3D91"/>
    <w:rsid w:val="00DF5A99"/>
    <w:rsid w:val="00E16241"/>
    <w:rsid w:val="00E313E0"/>
    <w:rsid w:val="00E80C3A"/>
    <w:rsid w:val="00E80CD5"/>
    <w:rsid w:val="00EE17B5"/>
    <w:rsid w:val="00EF39A6"/>
    <w:rsid w:val="00F05A65"/>
    <w:rsid w:val="00F24B17"/>
    <w:rsid w:val="00F3471F"/>
    <w:rsid w:val="00F5305D"/>
    <w:rsid w:val="00F94045"/>
    <w:rsid w:val="00FA5977"/>
    <w:rsid w:val="00FB4C07"/>
    <w:rsid w:val="00FD2963"/>
    <w:rsid w:val="00FE1DE4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17</cp:revision>
  <cp:lastPrinted>2022-08-02T01:33:00Z</cp:lastPrinted>
  <dcterms:created xsi:type="dcterms:W3CDTF">2022-10-16T23:17:00Z</dcterms:created>
  <dcterms:modified xsi:type="dcterms:W3CDTF">2022-11-10T08:49:00Z</dcterms:modified>
</cp:coreProperties>
</file>