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F42CA9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707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F42CA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нервной системы, органов дыхания</w:t>
      </w:r>
      <w:r w:rsidR="00026F67" w:rsidRPr="00F42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F42CA9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3707D1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5D4693" w:rsidRDefault="00026F67" w:rsidP="003707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социальной помощи в виде набора социальных услуг, профиль лечения –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5D4693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</w:t>
      </w:r>
      <w:r w:rsidR="005D4693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аппарата, эндокринной системы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, нервной системы, органов дыхания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3707D1" w:rsidRDefault="00815607" w:rsidP="003707D1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3707D1">
        <w:rPr>
          <w:rFonts w:cs="Times New Roman"/>
        </w:rPr>
        <w:t>Место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>оказания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 xml:space="preserve">услуг: Российская Федерация, </w:t>
      </w:r>
      <w:r w:rsidR="00B30573">
        <w:rPr>
          <w:rFonts w:eastAsia="Times New Roman CYR" w:cs="Times New Roman"/>
          <w:bCs/>
          <w:iCs/>
          <w:color w:val="000000"/>
          <w:spacing w:val="-2"/>
        </w:rPr>
        <w:t xml:space="preserve">Краснодарский край, курорт </w:t>
      </w:r>
      <w:r w:rsidR="0096099C">
        <w:rPr>
          <w:rFonts w:eastAsia="Times New Roman CYR" w:cs="Times New Roman"/>
          <w:bCs/>
          <w:iCs/>
          <w:color w:val="000000"/>
          <w:spacing w:val="-2"/>
        </w:rPr>
        <w:t>Анапа</w:t>
      </w:r>
      <w:r w:rsidRPr="003707D1">
        <w:rPr>
          <w:rFonts w:eastAsia="Times New Roman CYR" w:cs="Times New Roman"/>
          <w:color w:val="000000"/>
          <w:spacing w:val="-2"/>
        </w:rPr>
        <w:t>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5D4693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5D4693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</w:t>
      </w:r>
      <w:r w:rsidR="0096099C">
        <w:rPr>
          <w:rFonts w:ascii="Times New Roman" w:hAnsi="Times New Roman" w:cs="Times New Roman"/>
          <w:bCs/>
          <w:sz w:val="24"/>
          <w:szCs w:val="24"/>
        </w:rPr>
        <w:t>нее 01.04.2023г. и не позднее 21</w:t>
      </w:r>
      <w:r w:rsidRPr="005D4693">
        <w:rPr>
          <w:rFonts w:ascii="Times New Roman" w:hAnsi="Times New Roman" w:cs="Times New Roman"/>
          <w:bCs/>
          <w:sz w:val="24"/>
          <w:szCs w:val="24"/>
        </w:rPr>
        <w:t>.11.2023г.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5D4693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5D4693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5D4693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5D4693" w:rsidRPr="0096099C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9C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96099C" w:rsidRPr="0096099C" w:rsidRDefault="0096099C" w:rsidP="0096099C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9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6099C">
        <w:rPr>
          <w:rFonts w:ascii="Times New Roman" w:hAnsi="Times New Roman" w:cs="Times New Roman"/>
          <w:sz w:val="24"/>
          <w:szCs w:val="24"/>
        </w:rPr>
        <w:t>в весенний период             - не более 40% от общего количества;</w:t>
      </w:r>
    </w:p>
    <w:p w:rsidR="0096099C" w:rsidRPr="0096099C" w:rsidRDefault="0096099C" w:rsidP="0096099C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99C">
        <w:rPr>
          <w:rFonts w:ascii="Times New Roman" w:hAnsi="Times New Roman" w:cs="Times New Roman"/>
          <w:sz w:val="24"/>
          <w:szCs w:val="24"/>
        </w:rPr>
        <w:t>- в летний период                 - не менее 15% от общего количества;</w:t>
      </w:r>
    </w:p>
    <w:p w:rsidR="0096099C" w:rsidRPr="0096099C" w:rsidRDefault="0096099C" w:rsidP="0096099C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99C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F42CA9" w:rsidRDefault="000A0816" w:rsidP="005D4693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F42CA9" w:rsidRPr="00F42CA9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F42CA9" w:rsidRDefault="00815607" w:rsidP="00F42CA9">
      <w:pPr>
        <w:keepNext/>
        <w:keepLines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3707D1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3707D1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707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707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707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3707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3707D1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707D1">
        <w:rPr>
          <w:sz w:val="24"/>
          <w:szCs w:val="24"/>
        </w:rPr>
        <w:t xml:space="preserve"> 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>»;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3707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3707D1" w:rsidRDefault="003707D1" w:rsidP="003707D1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707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707D1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707D1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707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707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707D1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3707D1">
        <w:rPr>
          <w:color w:val="000000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5D4693" w:rsidRDefault="005D4693" w:rsidP="005D4693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5D4693">
        <w:rPr>
          <w:rFonts w:ascii="Times New Roman" w:hAnsi="Times New Roman" w:cs="Times New Roman"/>
          <w:sz w:val="24"/>
          <w:szCs w:val="24"/>
        </w:rPr>
        <w:t>н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5D4693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2E4909" w:rsidRDefault="005D4693" w:rsidP="005D4693">
      <w:pPr>
        <w:keepNext/>
        <w:keepLines/>
        <w:tabs>
          <w:tab w:val="left" w:pos="0"/>
          <w:tab w:val="left" w:pos="360"/>
        </w:tabs>
        <w:ind w:firstLine="709"/>
        <w:jc w:val="both"/>
        <w:rPr>
          <w:color w:val="000000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5D4693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2E4909">
        <w:rPr>
          <w:color w:val="000000"/>
        </w:rPr>
        <w:tab/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F943CB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3CB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F943CB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3CB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F943CB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3CB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F943CB" w:rsidRPr="00F943CB" w:rsidRDefault="00F943CB" w:rsidP="00F943CB">
      <w:pPr>
        <w:keepNext/>
        <w:keepLines/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3CB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F943CB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3CB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F94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3CB">
        <w:rPr>
          <w:rFonts w:ascii="Times New Roman" w:hAnsi="Times New Roman" w:cs="Times New Roman"/>
          <w:sz w:val="24"/>
          <w:szCs w:val="24"/>
        </w:rPr>
        <w:t>помещения.</w:t>
      </w:r>
    </w:p>
    <w:p w:rsidR="00F943CB" w:rsidRPr="00F943CB" w:rsidRDefault="00F943CB" w:rsidP="00F943CB">
      <w:pPr>
        <w:keepNext/>
        <w:keepLines/>
        <w:tabs>
          <w:tab w:val="left" w:pos="0"/>
          <w:tab w:val="left" w:pos="3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3CB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должен быть бесплатный </w:t>
      </w:r>
      <w:proofErr w:type="spellStart"/>
      <w:r w:rsidRPr="00F943CB">
        <w:rPr>
          <w:rFonts w:ascii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F943CB">
        <w:rPr>
          <w:rFonts w:ascii="Times New Roman" w:hAnsi="Times New Roman" w:cs="Times New Roman"/>
          <w:color w:val="000000"/>
          <w:sz w:val="24"/>
          <w:szCs w:val="24"/>
        </w:rPr>
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F943CB" w:rsidRPr="00F943CB" w:rsidRDefault="00F943CB" w:rsidP="00F943CB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3CB">
        <w:rPr>
          <w:rFonts w:ascii="Times New Roman" w:hAnsi="Times New Roman" w:cs="Times New Roman"/>
          <w:sz w:val="24"/>
          <w:szCs w:val="24"/>
        </w:rPr>
        <w:t xml:space="preserve">Организация, оказывающая </w:t>
      </w:r>
      <w:proofErr w:type="spellStart"/>
      <w:r w:rsidRPr="00F943C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943CB">
        <w:rPr>
          <w:rFonts w:ascii="Times New Roman" w:hAnsi="Times New Roman" w:cs="Times New Roman"/>
          <w:sz w:val="24"/>
          <w:szCs w:val="24"/>
        </w:rPr>
        <w:t xml:space="preserve"> — курортные услуги, должна соответствовать Своду правил СП 59.13330.2020 «Доступность зданий и сооружений для </w:t>
      </w:r>
      <w:proofErr w:type="spellStart"/>
      <w:r w:rsidRPr="00F943C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943CB">
        <w:rPr>
          <w:rFonts w:ascii="Times New Roman" w:hAnsi="Times New Roman" w:cs="Times New Roman"/>
          <w:sz w:val="24"/>
          <w:szCs w:val="24"/>
        </w:rPr>
        <w:t xml:space="preserve"> групп населения» Актуализированная редакция </w:t>
      </w:r>
      <w:proofErr w:type="spellStart"/>
      <w:r w:rsidRPr="00F943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943CB">
        <w:rPr>
          <w:rFonts w:ascii="Times New Roman" w:hAnsi="Times New Roman" w:cs="Times New Roman"/>
          <w:sz w:val="24"/>
          <w:szCs w:val="24"/>
        </w:rPr>
        <w:t xml:space="preserve"> 35-01-2001</w:t>
      </w:r>
      <w:r w:rsidRPr="00F943CB">
        <w:rPr>
          <w:rFonts w:ascii="Times New Roman" w:hAnsi="Times New Roman" w:cs="Times New Roman"/>
          <w:color w:val="000000"/>
          <w:sz w:val="24"/>
          <w:szCs w:val="24"/>
        </w:rPr>
        <w:t xml:space="preserve"> (утв. </w:t>
      </w:r>
      <w:r w:rsidRPr="00F943C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30 декабря 2020г. N 904/</w:t>
      </w:r>
      <w:proofErr w:type="spellStart"/>
      <w:r w:rsidRPr="00F943C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43C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943CB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F943CB">
        <w:rPr>
          <w:rFonts w:ascii="Times New Roman" w:hAnsi="Times New Roman" w:cs="Times New Roman"/>
          <w:sz w:val="24"/>
          <w:szCs w:val="24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5D4693" w:rsidRPr="005D4693" w:rsidRDefault="005D4693" w:rsidP="005D4693">
      <w:pPr>
        <w:pStyle w:val="22"/>
        <w:keepNext/>
        <w:keepLines/>
        <w:suppressAutoHyphens w:val="0"/>
        <w:spacing w:after="0" w:line="240" w:lineRule="auto"/>
        <w:ind w:firstLine="720"/>
        <w:jc w:val="both"/>
      </w:pPr>
      <w:r w:rsidRPr="005D4693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эндокринологии, неврологии, пульмонологии.</w:t>
      </w: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lastRenderedPageBreak/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3707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5D469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эндокринной системы, нервной системы,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9</cp:revision>
  <cp:lastPrinted>2021-01-22T09:37:00Z</cp:lastPrinted>
  <dcterms:created xsi:type="dcterms:W3CDTF">2021-12-16T13:36:00Z</dcterms:created>
  <dcterms:modified xsi:type="dcterms:W3CDTF">2022-11-22T05:51:00Z</dcterms:modified>
</cp:coreProperties>
</file>