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B6" w:rsidRPr="003B04B1" w:rsidRDefault="00F821B6" w:rsidP="00F821B6">
      <w:pPr>
        <w:jc w:val="right"/>
        <w:rPr>
          <w:rFonts w:ascii="Times New Roman" w:hAnsi="Times New Roman" w:cs="Times New Roman"/>
        </w:rPr>
      </w:pPr>
      <w:r w:rsidRPr="003B04B1">
        <w:rPr>
          <w:rFonts w:ascii="Times New Roman" w:hAnsi="Times New Roman" w:cs="Times New Roman"/>
        </w:rPr>
        <w:t>Приложение № 1 к извещению</w:t>
      </w:r>
    </w:p>
    <w:p w:rsidR="00F821B6" w:rsidRPr="003B04B1" w:rsidRDefault="00F821B6" w:rsidP="00F821B6">
      <w:pPr>
        <w:jc w:val="center"/>
        <w:rPr>
          <w:rFonts w:ascii="Times New Roman" w:hAnsi="Times New Roman" w:cs="Times New Roman"/>
        </w:rPr>
      </w:pPr>
      <w:r w:rsidRPr="003B04B1">
        <w:rPr>
          <w:rFonts w:ascii="Times New Roman" w:hAnsi="Times New Roman" w:cs="Times New Roman"/>
          <w:b/>
          <w:bCs/>
        </w:rPr>
        <w:t>ОПИСАНИЕ ОБЪЕКТА ЗАКУПКИ (ТЕХНИЧЕСКОЕ ЗАДАНИЕ)</w:t>
      </w:r>
    </w:p>
    <w:p w:rsidR="003B04B1" w:rsidRPr="003B04B1" w:rsidRDefault="003B04B1" w:rsidP="003B04B1">
      <w:pPr>
        <w:jc w:val="center"/>
        <w:rPr>
          <w:rFonts w:ascii="Times New Roman" w:hAnsi="Times New Roman" w:cs="Times New Roman"/>
          <w:b/>
        </w:rPr>
      </w:pPr>
      <w:r w:rsidRPr="003B04B1">
        <w:rPr>
          <w:rFonts w:ascii="Times New Roman" w:hAnsi="Times New Roman" w:cs="Times New Roman"/>
          <w:b/>
        </w:rPr>
        <w:t xml:space="preserve">на оказание услуг по обеспечению автомобилей </w:t>
      </w:r>
      <w:r w:rsidR="00914950">
        <w:rPr>
          <w:rFonts w:ascii="Times New Roman" w:hAnsi="Times New Roman" w:cs="Times New Roman"/>
          <w:b/>
        </w:rPr>
        <w:t>Заказчика</w:t>
      </w:r>
      <w:r w:rsidRPr="003B04B1">
        <w:rPr>
          <w:rFonts w:ascii="Times New Roman" w:hAnsi="Times New Roman" w:cs="Times New Roman"/>
          <w:b/>
        </w:rPr>
        <w:t xml:space="preserve"> горюче-смазочными материалами при предъявлении электронных пластиковых карт (АИ-95) и (ДТ) на 1-й и 2-й кварталы 2023 года</w:t>
      </w:r>
    </w:p>
    <w:p w:rsidR="003B04B1" w:rsidRPr="003B04B1" w:rsidRDefault="003B04B1" w:rsidP="003B04B1">
      <w:pPr>
        <w:rPr>
          <w:rFonts w:ascii="Times New Roman" w:hAnsi="Times New Roman" w:cs="Times New Roman"/>
        </w:rPr>
      </w:pPr>
    </w:p>
    <w:p w:rsidR="003B04B1" w:rsidRPr="003B04B1" w:rsidRDefault="003B04B1" w:rsidP="003B04B1">
      <w:pPr>
        <w:numPr>
          <w:ilvl w:val="0"/>
          <w:numId w:val="2"/>
        </w:numPr>
        <w:spacing w:after="0" w:line="240" w:lineRule="auto"/>
        <w:jc w:val="both"/>
        <w:rPr>
          <w:rFonts w:ascii="Times New Roman" w:hAnsi="Times New Roman" w:cs="Times New Roman"/>
          <w:b/>
        </w:rPr>
      </w:pPr>
      <w:r w:rsidRPr="003B04B1">
        <w:rPr>
          <w:rFonts w:ascii="Times New Roman" w:hAnsi="Times New Roman" w:cs="Times New Roman"/>
          <w:b/>
        </w:rPr>
        <w:t xml:space="preserve">Заказчик: </w:t>
      </w:r>
    </w:p>
    <w:p w:rsidR="003B04B1" w:rsidRPr="003B04B1" w:rsidRDefault="003B04B1" w:rsidP="003B04B1">
      <w:pPr>
        <w:jc w:val="both"/>
        <w:rPr>
          <w:rFonts w:ascii="Times New Roman" w:hAnsi="Times New Roman" w:cs="Times New Roman"/>
          <w:b/>
        </w:rPr>
      </w:pPr>
      <w:r w:rsidRPr="003B04B1">
        <w:rPr>
          <w:rFonts w:ascii="Times New Roman" w:hAnsi="Times New Roman" w:cs="Times New Roman"/>
        </w:rPr>
        <w:tab/>
        <w:t>Фонд социального страхования Российской Федерации.</w:t>
      </w:r>
    </w:p>
    <w:p w:rsidR="003B04B1" w:rsidRPr="003B04B1" w:rsidRDefault="003B04B1" w:rsidP="003B04B1">
      <w:pPr>
        <w:numPr>
          <w:ilvl w:val="0"/>
          <w:numId w:val="2"/>
        </w:numPr>
        <w:spacing w:after="0" w:line="240" w:lineRule="auto"/>
        <w:jc w:val="both"/>
        <w:rPr>
          <w:rFonts w:ascii="Times New Roman" w:hAnsi="Times New Roman" w:cs="Times New Roman"/>
          <w:b/>
        </w:rPr>
      </w:pPr>
      <w:r w:rsidRPr="003B04B1">
        <w:rPr>
          <w:rFonts w:ascii="Times New Roman" w:hAnsi="Times New Roman" w:cs="Times New Roman"/>
          <w:b/>
        </w:rPr>
        <w:t>Источник финансирования:</w:t>
      </w:r>
    </w:p>
    <w:p w:rsidR="003B04B1" w:rsidRPr="003B04B1" w:rsidRDefault="003B04B1" w:rsidP="003B04B1">
      <w:pPr>
        <w:jc w:val="both"/>
        <w:rPr>
          <w:rFonts w:ascii="Times New Roman" w:hAnsi="Times New Roman" w:cs="Times New Roman"/>
          <w:b/>
        </w:rPr>
      </w:pPr>
      <w:r w:rsidRPr="003B04B1">
        <w:rPr>
          <w:rFonts w:ascii="Times New Roman" w:hAnsi="Times New Roman" w:cs="Times New Roman"/>
        </w:rPr>
        <w:tab/>
        <w:t>Бюджет Фонда социального страхования Российской Федерации.</w:t>
      </w:r>
    </w:p>
    <w:p w:rsidR="003B04B1" w:rsidRPr="003B04B1" w:rsidRDefault="003B04B1" w:rsidP="003B04B1">
      <w:pPr>
        <w:numPr>
          <w:ilvl w:val="0"/>
          <w:numId w:val="2"/>
        </w:numPr>
        <w:spacing w:after="0" w:line="240" w:lineRule="auto"/>
        <w:jc w:val="both"/>
        <w:rPr>
          <w:rFonts w:ascii="Times New Roman" w:hAnsi="Times New Roman" w:cs="Times New Roman"/>
          <w:b/>
        </w:rPr>
      </w:pPr>
      <w:r w:rsidRPr="003B04B1">
        <w:rPr>
          <w:rFonts w:ascii="Times New Roman" w:hAnsi="Times New Roman" w:cs="Times New Roman"/>
          <w:b/>
        </w:rPr>
        <w:t>Требования к качеству товара, работ и услуг:</w:t>
      </w:r>
    </w:p>
    <w:p w:rsidR="003B04B1" w:rsidRPr="003B04B1" w:rsidRDefault="003B04B1" w:rsidP="003B04B1">
      <w:pPr>
        <w:tabs>
          <w:tab w:val="left" w:pos="720"/>
        </w:tabs>
        <w:spacing w:after="0" w:line="240" w:lineRule="auto"/>
        <w:ind w:firstLine="709"/>
        <w:jc w:val="both"/>
        <w:rPr>
          <w:rFonts w:ascii="Times New Roman" w:hAnsi="Times New Roman" w:cs="Times New Roman"/>
        </w:rPr>
      </w:pPr>
      <w:r w:rsidRPr="003B04B1">
        <w:rPr>
          <w:rFonts w:ascii="Times New Roman" w:hAnsi="Times New Roman" w:cs="Times New Roman"/>
        </w:rPr>
        <w:t xml:space="preserve">Топливо, </w:t>
      </w:r>
      <w:r w:rsidRPr="003B04B1">
        <w:rPr>
          <w:rFonts w:ascii="Times New Roman" w:eastAsia="Calibri" w:hAnsi="Times New Roman" w:cs="Times New Roman"/>
        </w:rPr>
        <w:t>предоставляемое посредством пластиковых карт</w:t>
      </w:r>
      <w:r w:rsidRPr="003B04B1">
        <w:rPr>
          <w:rFonts w:ascii="Times New Roman" w:hAnsi="Times New Roman" w:cs="Times New Roman"/>
        </w:rPr>
        <w:t>, должно соответствовать требованиям:</w:t>
      </w:r>
    </w:p>
    <w:p w:rsidR="003B04B1" w:rsidRPr="003B04B1" w:rsidRDefault="003B04B1" w:rsidP="003B04B1">
      <w:pPr>
        <w:tabs>
          <w:tab w:val="left" w:pos="720"/>
        </w:tabs>
        <w:spacing w:after="0" w:line="240" w:lineRule="auto"/>
        <w:ind w:firstLine="709"/>
        <w:jc w:val="both"/>
        <w:rPr>
          <w:rFonts w:ascii="Times New Roman" w:hAnsi="Times New Roman" w:cs="Times New Roman"/>
        </w:rPr>
      </w:pPr>
      <w:r w:rsidRPr="003B04B1">
        <w:rPr>
          <w:rFonts w:ascii="Times New Roman" w:hAnsi="Times New Roman" w:cs="Times New Roman"/>
        </w:rPr>
        <w:t xml:space="preserve">ГОСТ Р 51105-2020 - Топлива для двигателей внутреннего сгорания. Неэтилированный бензин. </w:t>
      </w:r>
    </w:p>
    <w:p w:rsidR="003B04B1" w:rsidRPr="003B04B1" w:rsidRDefault="003B04B1" w:rsidP="003B04B1">
      <w:pPr>
        <w:tabs>
          <w:tab w:val="left" w:pos="720"/>
        </w:tabs>
        <w:spacing w:after="0" w:line="240" w:lineRule="auto"/>
        <w:ind w:firstLine="709"/>
        <w:jc w:val="both"/>
        <w:rPr>
          <w:rFonts w:ascii="Times New Roman" w:hAnsi="Times New Roman" w:cs="Times New Roman"/>
        </w:rPr>
      </w:pPr>
      <w:r w:rsidRPr="003B04B1">
        <w:rPr>
          <w:rFonts w:ascii="Times New Roman" w:hAnsi="Times New Roman" w:cs="Times New Roman"/>
        </w:rPr>
        <w:t xml:space="preserve">ГОСТ Р 51866-2002 - Топлива моторные. Бензин неэтилированный. </w:t>
      </w:r>
    </w:p>
    <w:p w:rsidR="003B04B1" w:rsidRDefault="003B04B1" w:rsidP="003B04B1">
      <w:pPr>
        <w:tabs>
          <w:tab w:val="left" w:pos="720"/>
        </w:tabs>
        <w:spacing w:after="0" w:line="240" w:lineRule="auto"/>
        <w:ind w:firstLine="709"/>
        <w:jc w:val="both"/>
        <w:rPr>
          <w:rFonts w:ascii="Times New Roman" w:hAnsi="Times New Roman" w:cs="Times New Roman"/>
        </w:rPr>
      </w:pPr>
      <w:r w:rsidRPr="003B04B1">
        <w:rPr>
          <w:rFonts w:ascii="Times New Roman" w:hAnsi="Times New Roman" w:cs="Times New Roman"/>
        </w:rPr>
        <w:t xml:space="preserve">ГОСТ Р 52368-2005 - Топливо дизельное евро. </w:t>
      </w:r>
    </w:p>
    <w:p w:rsidR="003B04B1" w:rsidRPr="003B04B1" w:rsidRDefault="003B04B1" w:rsidP="003B04B1">
      <w:pPr>
        <w:tabs>
          <w:tab w:val="left" w:pos="720"/>
        </w:tabs>
        <w:spacing w:after="0" w:line="240" w:lineRule="auto"/>
        <w:ind w:firstLine="709"/>
        <w:jc w:val="both"/>
        <w:rPr>
          <w:rFonts w:ascii="Times New Roman" w:hAnsi="Times New Roman" w:cs="Times New Roman"/>
        </w:rPr>
      </w:pPr>
    </w:p>
    <w:p w:rsidR="003B04B1" w:rsidRPr="003B04B1" w:rsidRDefault="003B04B1" w:rsidP="003B04B1">
      <w:pPr>
        <w:pStyle w:val="a8"/>
        <w:numPr>
          <w:ilvl w:val="0"/>
          <w:numId w:val="2"/>
        </w:numPr>
        <w:tabs>
          <w:tab w:val="left" w:pos="-1200"/>
        </w:tabs>
        <w:spacing w:after="0" w:line="240" w:lineRule="auto"/>
        <w:jc w:val="both"/>
        <w:rPr>
          <w:rFonts w:ascii="Times New Roman" w:hAnsi="Times New Roman" w:cs="Times New Roman"/>
          <w:b/>
        </w:rPr>
      </w:pPr>
      <w:r w:rsidRPr="003B04B1">
        <w:rPr>
          <w:rFonts w:ascii="Times New Roman" w:hAnsi="Times New Roman" w:cs="Times New Roman"/>
          <w:b/>
        </w:rPr>
        <w:t>Обязательные условия:</w:t>
      </w:r>
    </w:p>
    <w:p w:rsidR="003B04B1" w:rsidRPr="003B04B1" w:rsidRDefault="003B04B1" w:rsidP="003B04B1">
      <w:pPr>
        <w:tabs>
          <w:tab w:val="left" w:pos="720"/>
        </w:tabs>
        <w:ind w:firstLine="709"/>
        <w:jc w:val="both"/>
        <w:rPr>
          <w:rFonts w:ascii="Times New Roman" w:hAnsi="Times New Roman" w:cs="Times New Roman"/>
        </w:rPr>
      </w:pPr>
      <w:r w:rsidRPr="003B04B1">
        <w:rPr>
          <w:rFonts w:ascii="Times New Roman" w:hAnsi="Times New Roman" w:cs="Times New Roman"/>
        </w:rPr>
        <w:t xml:space="preserve">Оказание услуг по обеспечению автомобилей Фонда социального страхования Российской Федерации </w:t>
      </w:r>
      <w:r w:rsidRPr="003B04B1">
        <w:rPr>
          <w:rFonts w:ascii="Times New Roman" w:eastAsia="Calibri" w:hAnsi="Times New Roman" w:cs="Times New Roman"/>
        </w:rPr>
        <w:t xml:space="preserve">топливом предоставляемых при предъявлении пластиковых карт </w:t>
      </w:r>
      <w:r w:rsidRPr="003B04B1">
        <w:rPr>
          <w:rFonts w:ascii="Times New Roman" w:hAnsi="Times New Roman" w:cs="Times New Roman"/>
        </w:rPr>
        <w:t>в количестве:</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3"/>
        <w:gridCol w:w="3526"/>
        <w:gridCol w:w="2410"/>
      </w:tblGrid>
      <w:tr w:rsidR="003B04B1" w:rsidRPr="003B04B1" w:rsidTr="001E3575">
        <w:trPr>
          <w:trHeight w:val="322"/>
        </w:trPr>
        <w:tc>
          <w:tcPr>
            <w:tcW w:w="3703" w:type="dxa"/>
          </w:tcPr>
          <w:p w:rsidR="003B04B1" w:rsidRPr="003B04B1" w:rsidRDefault="003B04B1" w:rsidP="003B04B1">
            <w:pPr>
              <w:tabs>
                <w:tab w:val="left" w:pos="720"/>
              </w:tabs>
              <w:spacing w:after="0"/>
              <w:jc w:val="center"/>
              <w:rPr>
                <w:rFonts w:ascii="Times New Roman" w:hAnsi="Times New Roman" w:cs="Times New Roman"/>
              </w:rPr>
            </w:pPr>
            <w:r w:rsidRPr="003B04B1">
              <w:rPr>
                <w:rFonts w:ascii="Times New Roman" w:hAnsi="Times New Roman" w:cs="Times New Roman"/>
              </w:rPr>
              <w:t>Марка топлива</w:t>
            </w:r>
          </w:p>
        </w:tc>
        <w:tc>
          <w:tcPr>
            <w:tcW w:w="3526" w:type="dxa"/>
          </w:tcPr>
          <w:p w:rsidR="003B04B1" w:rsidRPr="003B04B1" w:rsidRDefault="003B04B1" w:rsidP="003B04B1">
            <w:pPr>
              <w:tabs>
                <w:tab w:val="left" w:pos="720"/>
              </w:tabs>
              <w:spacing w:after="0"/>
              <w:jc w:val="center"/>
              <w:rPr>
                <w:rFonts w:ascii="Times New Roman" w:hAnsi="Times New Roman" w:cs="Times New Roman"/>
              </w:rPr>
            </w:pPr>
            <w:r w:rsidRPr="003B04B1">
              <w:rPr>
                <w:rFonts w:ascii="Times New Roman" w:hAnsi="Times New Roman" w:cs="Times New Roman"/>
              </w:rPr>
              <w:t>Единица измерения</w:t>
            </w:r>
          </w:p>
        </w:tc>
        <w:tc>
          <w:tcPr>
            <w:tcW w:w="2410" w:type="dxa"/>
          </w:tcPr>
          <w:p w:rsidR="003B04B1" w:rsidRPr="003B04B1" w:rsidRDefault="003B04B1" w:rsidP="003B04B1">
            <w:pPr>
              <w:tabs>
                <w:tab w:val="left" w:pos="720"/>
              </w:tabs>
              <w:spacing w:after="0"/>
              <w:jc w:val="center"/>
              <w:rPr>
                <w:rFonts w:ascii="Times New Roman" w:hAnsi="Times New Roman" w:cs="Times New Roman"/>
              </w:rPr>
            </w:pPr>
            <w:r w:rsidRPr="003B04B1">
              <w:rPr>
                <w:rFonts w:ascii="Times New Roman" w:hAnsi="Times New Roman" w:cs="Times New Roman"/>
              </w:rPr>
              <w:t>Количество</w:t>
            </w:r>
          </w:p>
        </w:tc>
      </w:tr>
      <w:tr w:rsidR="003B04B1" w:rsidRPr="003B04B1" w:rsidTr="001E3575">
        <w:trPr>
          <w:trHeight w:val="322"/>
        </w:trPr>
        <w:tc>
          <w:tcPr>
            <w:tcW w:w="3703" w:type="dxa"/>
          </w:tcPr>
          <w:p w:rsidR="003B04B1" w:rsidRPr="003B04B1" w:rsidRDefault="003B04B1" w:rsidP="003B04B1">
            <w:pPr>
              <w:tabs>
                <w:tab w:val="left" w:pos="720"/>
              </w:tabs>
              <w:spacing w:after="0"/>
              <w:jc w:val="center"/>
              <w:rPr>
                <w:rFonts w:ascii="Times New Roman" w:hAnsi="Times New Roman" w:cs="Times New Roman"/>
              </w:rPr>
            </w:pPr>
            <w:r w:rsidRPr="003B04B1">
              <w:rPr>
                <w:rFonts w:ascii="Times New Roman" w:hAnsi="Times New Roman" w:cs="Times New Roman"/>
              </w:rPr>
              <w:t>Бензин марки АИ-95</w:t>
            </w:r>
          </w:p>
        </w:tc>
        <w:tc>
          <w:tcPr>
            <w:tcW w:w="3526" w:type="dxa"/>
          </w:tcPr>
          <w:p w:rsidR="003B04B1" w:rsidRPr="003B04B1" w:rsidRDefault="003B04B1" w:rsidP="003B04B1">
            <w:pPr>
              <w:tabs>
                <w:tab w:val="left" w:pos="720"/>
              </w:tabs>
              <w:spacing w:after="0"/>
              <w:jc w:val="center"/>
              <w:rPr>
                <w:rFonts w:ascii="Times New Roman" w:hAnsi="Times New Roman" w:cs="Times New Roman"/>
              </w:rPr>
            </w:pPr>
            <w:r w:rsidRPr="003B04B1">
              <w:rPr>
                <w:rStyle w:val="cardmaininfotitle2"/>
                <w:rFonts w:ascii="Times New Roman" w:hAnsi="Times New Roman" w:cs="Times New Roman"/>
                <w:color w:val="000000" w:themeColor="text1"/>
              </w:rPr>
              <w:t>Литр;^кубический дециметр</w:t>
            </w:r>
          </w:p>
        </w:tc>
        <w:tc>
          <w:tcPr>
            <w:tcW w:w="2410" w:type="dxa"/>
          </w:tcPr>
          <w:p w:rsidR="003B04B1" w:rsidRPr="003B04B1" w:rsidRDefault="003B04B1" w:rsidP="003B04B1">
            <w:pPr>
              <w:tabs>
                <w:tab w:val="left" w:pos="720"/>
              </w:tabs>
              <w:spacing w:after="0"/>
              <w:jc w:val="center"/>
              <w:rPr>
                <w:rFonts w:ascii="Times New Roman" w:hAnsi="Times New Roman" w:cs="Times New Roman"/>
              </w:rPr>
            </w:pPr>
            <w:r w:rsidRPr="003B04B1">
              <w:rPr>
                <w:rFonts w:ascii="Times New Roman" w:hAnsi="Times New Roman" w:cs="Times New Roman"/>
              </w:rPr>
              <w:t>80 000</w:t>
            </w:r>
          </w:p>
        </w:tc>
      </w:tr>
      <w:tr w:rsidR="003B04B1" w:rsidRPr="003B04B1" w:rsidTr="001E3575">
        <w:trPr>
          <w:trHeight w:val="322"/>
        </w:trPr>
        <w:tc>
          <w:tcPr>
            <w:tcW w:w="3703" w:type="dxa"/>
          </w:tcPr>
          <w:p w:rsidR="003B04B1" w:rsidRPr="003B04B1" w:rsidRDefault="003B04B1" w:rsidP="003B04B1">
            <w:pPr>
              <w:tabs>
                <w:tab w:val="left" w:pos="720"/>
              </w:tabs>
              <w:spacing w:after="0"/>
              <w:jc w:val="center"/>
              <w:rPr>
                <w:rFonts w:ascii="Times New Roman" w:hAnsi="Times New Roman" w:cs="Times New Roman"/>
              </w:rPr>
            </w:pPr>
            <w:r w:rsidRPr="003B04B1">
              <w:rPr>
                <w:rFonts w:ascii="Times New Roman" w:hAnsi="Times New Roman" w:cs="Times New Roman"/>
              </w:rPr>
              <w:t>Дизельное топливо (ДТ)</w:t>
            </w:r>
          </w:p>
        </w:tc>
        <w:tc>
          <w:tcPr>
            <w:tcW w:w="3526" w:type="dxa"/>
          </w:tcPr>
          <w:p w:rsidR="003B04B1" w:rsidRPr="003B04B1" w:rsidRDefault="003B04B1" w:rsidP="003B04B1">
            <w:pPr>
              <w:tabs>
                <w:tab w:val="left" w:pos="720"/>
              </w:tabs>
              <w:spacing w:after="0"/>
              <w:jc w:val="center"/>
              <w:rPr>
                <w:rFonts w:ascii="Times New Roman" w:hAnsi="Times New Roman" w:cs="Times New Roman"/>
              </w:rPr>
            </w:pPr>
            <w:r w:rsidRPr="003B04B1">
              <w:rPr>
                <w:rStyle w:val="cardmaininfotitle2"/>
                <w:rFonts w:ascii="Times New Roman" w:hAnsi="Times New Roman" w:cs="Times New Roman"/>
                <w:color w:val="000000" w:themeColor="text1"/>
              </w:rPr>
              <w:t>Литр;^кубический дециметр</w:t>
            </w:r>
          </w:p>
        </w:tc>
        <w:tc>
          <w:tcPr>
            <w:tcW w:w="2410" w:type="dxa"/>
          </w:tcPr>
          <w:p w:rsidR="003B04B1" w:rsidRPr="003B04B1" w:rsidRDefault="003B04B1" w:rsidP="003B04B1">
            <w:pPr>
              <w:tabs>
                <w:tab w:val="left" w:pos="720"/>
              </w:tabs>
              <w:spacing w:after="0"/>
              <w:jc w:val="center"/>
              <w:rPr>
                <w:rFonts w:ascii="Times New Roman" w:hAnsi="Times New Roman" w:cs="Times New Roman"/>
              </w:rPr>
            </w:pPr>
            <w:r w:rsidRPr="003B04B1">
              <w:rPr>
                <w:rFonts w:ascii="Times New Roman" w:hAnsi="Times New Roman" w:cs="Times New Roman"/>
              </w:rPr>
              <w:t>2 000</w:t>
            </w:r>
          </w:p>
        </w:tc>
      </w:tr>
    </w:tbl>
    <w:p w:rsidR="003B04B1" w:rsidRPr="003B04B1" w:rsidRDefault="003B04B1" w:rsidP="003B04B1">
      <w:pPr>
        <w:tabs>
          <w:tab w:val="left" w:pos="720"/>
        </w:tabs>
        <w:ind w:firstLine="709"/>
        <w:jc w:val="center"/>
        <w:rPr>
          <w:rFonts w:ascii="Times New Roman" w:hAnsi="Times New Roman" w:cs="Times New Roman"/>
        </w:rPr>
      </w:pPr>
    </w:p>
    <w:tbl>
      <w:tblPr>
        <w:tblW w:w="9923" w:type="dxa"/>
        <w:tblInd w:w="-5" w:type="dxa"/>
        <w:tblLook w:val="04A0" w:firstRow="1" w:lastRow="0" w:firstColumn="1" w:lastColumn="0" w:noHBand="0" w:noVBand="1"/>
      </w:tblPr>
      <w:tblGrid>
        <w:gridCol w:w="4820"/>
        <w:gridCol w:w="5103"/>
      </w:tblGrid>
      <w:tr w:rsidR="003B04B1" w:rsidRPr="003B04B1" w:rsidTr="003B04B1">
        <w:trPr>
          <w:trHeight w:val="33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4B1" w:rsidRPr="003B04B1" w:rsidRDefault="003B04B1" w:rsidP="003B04B1">
            <w:pPr>
              <w:tabs>
                <w:tab w:val="left" w:pos="6735"/>
              </w:tabs>
              <w:spacing w:after="0"/>
              <w:jc w:val="center"/>
              <w:rPr>
                <w:rFonts w:ascii="Times New Roman" w:hAnsi="Times New Roman" w:cs="Times New Roman"/>
                <w:b/>
                <w:bCs/>
              </w:rPr>
            </w:pPr>
            <w:r w:rsidRPr="003B04B1">
              <w:rPr>
                <w:rFonts w:ascii="Times New Roman" w:hAnsi="Times New Roman" w:cs="Times New Roman"/>
                <w:b/>
                <w:bCs/>
              </w:rPr>
              <w:t>КТРУ: 19.20.21.100-00000005 «Бензин автомобильный (розничная реализация)» (АИ-95)</w:t>
            </w:r>
          </w:p>
        </w:tc>
      </w:tr>
      <w:tr w:rsidR="003B04B1" w:rsidRPr="003B04B1" w:rsidTr="003B04B1">
        <w:trPr>
          <w:trHeight w:val="5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bCs/>
              </w:rPr>
              <w:t>НАИМЕНОВАНИЕ ХАРАКТЕРИСТИКИ</w:t>
            </w:r>
          </w:p>
        </w:tc>
        <w:tc>
          <w:tcPr>
            <w:tcW w:w="5103" w:type="dxa"/>
            <w:tcBorders>
              <w:top w:val="nil"/>
              <w:left w:val="nil"/>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bCs/>
              </w:rPr>
              <w:t>ЗНАЧЕНИЕ ХАРАКТЕРИСТИКИ</w:t>
            </w:r>
          </w:p>
        </w:tc>
      </w:tr>
      <w:tr w:rsidR="003B04B1" w:rsidRPr="003B04B1" w:rsidTr="003B04B1">
        <w:trPr>
          <w:trHeight w:val="74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rPr>
              <w:t>Октановое число бензина автомобильного по исследовательскому методу</w:t>
            </w:r>
          </w:p>
        </w:tc>
        <w:tc>
          <w:tcPr>
            <w:tcW w:w="5103" w:type="dxa"/>
            <w:tcBorders>
              <w:top w:val="nil"/>
              <w:left w:val="nil"/>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rPr>
              <w:t>≥ 95  и  &lt; 98</w:t>
            </w:r>
          </w:p>
        </w:tc>
      </w:tr>
      <w:tr w:rsidR="003B04B1" w:rsidRPr="003B04B1" w:rsidTr="003B04B1">
        <w:trPr>
          <w:trHeight w:val="3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rPr>
              <w:t>Экологический класс</w:t>
            </w:r>
          </w:p>
        </w:tc>
        <w:tc>
          <w:tcPr>
            <w:tcW w:w="5103" w:type="dxa"/>
            <w:tcBorders>
              <w:top w:val="nil"/>
              <w:left w:val="nil"/>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rPr>
              <w:t>не ниже К5</w:t>
            </w:r>
          </w:p>
        </w:tc>
      </w:tr>
      <w:tr w:rsidR="003B04B1" w:rsidRPr="003B04B1" w:rsidTr="003B04B1">
        <w:trPr>
          <w:trHeight w:val="33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4B1" w:rsidRPr="003B04B1" w:rsidRDefault="003B04B1" w:rsidP="003B04B1">
            <w:pPr>
              <w:tabs>
                <w:tab w:val="left" w:pos="6735"/>
              </w:tabs>
              <w:spacing w:after="0"/>
              <w:jc w:val="center"/>
              <w:rPr>
                <w:rFonts w:ascii="Times New Roman" w:hAnsi="Times New Roman" w:cs="Times New Roman"/>
                <w:b/>
                <w:bCs/>
              </w:rPr>
            </w:pPr>
            <w:r w:rsidRPr="003B04B1">
              <w:rPr>
                <w:rFonts w:ascii="Times New Roman" w:hAnsi="Times New Roman" w:cs="Times New Roman"/>
                <w:b/>
                <w:bCs/>
              </w:rPr>
              <w:t>КТРУ: 19.20.21.345-00002 «Топливо дизельное межсезонное экологического класса не ниже К5 (розничная поставка)» (ДТ)</w:t>
            </w:r>
          </w:p>
        </w:tc>
      </w:tr>
      <w:tr w:rsidR="003B04B1" w:rsidRPr="003B04B1" w:rsidTr="003B04B1">
        <w:trPr>
          <w:trHeight w:val="7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bCs/>
              </w:rPr>
              <w:t>НАИМЕНОВАНИЕ ХАРАКТЕРИСТИКИ</w:t>
            </w:r>
          </w:p>
        </w:tc>
        <w:tc>
          <w:tcPr>
            <w:tcW w:w="5103" w:type="dxa"/>
            <w:tcBorders>
              <w:top w:val="nil"/>
              <w:left w:val="nil"/>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bCs/>
              </w:rPr>
              <w:t>ЗНАЧЕНИЕ ХАРАКТЕРИСТИКИ</w:t>
            </w:r>
          </w:p>
        </w:tc>
      </w:tr>
      <w:tr w:rsidR="003B04B1" w:rsidRPr="003B04B1" w:rsidTr="003B04B1">
        <w:trPr>
          <w:trHeight w:val="3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rPr>
              <w:t>Сорт/класс топлива</w:t>
            </w:r>
          </w:p>
        </w:tc>
        <w:tc>
          <w:tcPr>
            <w:tcW w:w="5103" w:type="dxa"/>
            <w:tcBorders>
              <w:top w:val="nil"/>
              <w:left w:val="nil"/>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rPr>
              <w:t>не ниже F</w:t>
            </w:r>
          </w:p>
        </w:tc>
      </w:tr>
      <w:tr w:rsidR="003B04B1" w:rsidRPr="003B04B1" w:rsidTr="003B04B1">
        <w:trPr>
          <w:trHeight w:val="3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rPr>
              <w:t>Тип топлива дизельного</w:t>
            </w:r>
          </w:p>
        </w:tc>
        <w:tc>
          <w:tcPr>
            <w:tcW w:w="5103" w:type="dxa"/>
            <w:tcBorders>
              <w:top w:val="nil"/>
              <w:left w:val="nil"/>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rPr>
              <w:t>Межсезонное</w:t>
            </w:r>
          </w:p>
        </w:tc>
      </w:tr>
      <w:tr w:rsidR="003B04B1" w:rsidRPr="003B04B1" w:rsidTr="003B04B1">
        <w:trPr>
          <w:trHeight w:val="3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rPr>
              <w:t>Экологический класс</w:t>
            </w:r>
          </w:p>
        </w:tc>
        <w:tc>
          <w:tcPr>
            <w:tcW w:w="5103" w:type="dxa"/>
            <w:tcBorders>
              <w:top w:val="nil"/>
              <w:left w:val="nil"/>
              <w:bottom w:val="single" w:sz="4" w:space="0" w:color="auto"/>
              <w:right w:val="single" w:sz="4" w:space="0" w:color="auto"/>
            </w:tcBorders>
            <w:shd w:val="clear" w:color="auto" w:fill="auto"/>
            <w:vAlign w:val="center"/>
            <w:hideMark/>
          </w:tcPr>
          <w:p w:rsidR="003B04B1" w:rsidRPr="003B04B1" w:rsidRDefault="003B04B1" w:rsidP="003B04B1">
            <w:pPr>
              <w:tabs>
                <w:tab w:val="left" w:pos="6735"/>
              </w:tabs>
              <w:spacing w:after="0"/>
              <w:jc w:val="center"/>
              <w:rPr>
                <w:rFonts w:ascii="Times New Roman" w:hAnsi="Times New Roman" w:cs="Times New Roman"/>
              </w:rPr>
            </w:pPr>
            <w:r w:rsidRPr="003B04B1">
              <w:rPr>
                <w:rFonts w:ascii="Times New Roman" w:hAnsi="Times New Roman" w:cs="Times New Roman"/>
              </w:rPr>
              <w:t>не ниже К5</w:t>
            </w:r>
          </w:p>
        </w:tc>
      </w:tr>
    </w:tbl>
    <w:p w:rsidR="003B04B1" w:rsidRDefault="003B04B1" w:rsidP="003B04B1">
      <w:pPr>
        <w:tabs>
          <w:tab w:val="left" w:pos="720"/>
        </w:tabs>
        <w:spacing w:after="0"/>
        <w:ind w:firstLine="709"/>
        <w:jc w:val="both"/>
        <w:rPr>
          <w:rFonts w:ascii="Times New Roman" w:hAnsi="Times New Roman" w:cs="Times New Roman"/>
        </w:rPr>
      </w:pPr>
    </w:p>
    <w:p w:rsidR="003B04B1" w:rsidRPr="003B04B1" w:rsidRDefault="003B04B1" w:rsidP="003B04B1">
      <w:pPr>
        <w:tabs>
          <w:tab w:val="left" w:pos="720"/>
        </w:tabs>
        <w:spacing w:after="0"/>
        <w:ind w:firstLine="709"/>
        <w:jc w:val="both"/>
        <w:rPr>
          <w:rFonts w:ascii="Times New Roman" w:hAnsi="Times New Roman" w:cs="Times New Roman"/>
        </w:rPr>
      </w:pPr>
      <w:r w:rsidRPr="003B04B1">
        <w:rPr>
          <w:rFonts w:ascii="Times New Roman" w:hAnsi="Times New Roman" w:cs="Times New Roman"/>
        </w:rPr>
        <w:t>Топливо марки АИ-95 и ДТ, предоставляемое посредством пластиковых карт, должно соответствовать требованиям, установленным Постановлением Правительства РФ от 27.02.2008 № 118 и Решением Комиссии таможенного союза от 18.10.2011 № 826.</w:t>
      </w:r>
    </w:p>
    <w:p w:rsidR="003B04B1" w:rsidRPr="003B04B1" w:rsidRDefault="003B04B1" w:rsidP="003B04B1">
      <w:pPr>
        <w:keepNext/>
        <w:widowControl w:val="0"/>
        <w:spacing w:after="0"/>
        <w:ind w:firstLine="709"/>
        <w:jc w:val="both"/>
        <w:rPr>
          <w:rFonts w:ascii="Times New Roman" w:hAnsi="Times New Roman" w:cs="Times New Roman"/>
        </w:rPr>
      </w:pPr>
      <w:r w:rsidRPr="003B04B1">
        <w:rPr>
          <w:rFonts w:ascii="Times New Roman" w:hAnsi="Times New Roman" w:cs="Times New Roman"/>
        </w:rPr>
        <w:t xml:space="preserve">Круглосуточный отпуск топлива марки АИ-95 и ДТ на автозаправочных станциях (в дальнейшем АЗС) в каждом административном округе г. Москвы в бесперебойном режиме (за исключением технологических перерывов и технических неполадок) через сеть АЗС. Общее количество АЗС в </w:t>
      </w:r>
      <w:r>
        <w:rPr>
          <w:rFonts w:ascii="Times New Roman" w:hAnsi="Times New Roman" w:cs="Times New Roman"/>
        </w:rPr>
        <w:br/>
      </w:r>
      <w:r w:rsidRPr="003B04B1">
        <w:rPr>
          <w:rFonts w:ascii="Times New Roman" w:hAnsi="Times New Roman" w:cs="Times New Roman"/>
        </w:rPr>
        <w:t xml:space="preserve">г. Москве и Московской области не менее 300 </w:t>
      </w:r>
      <w:proofErr w:type="spellStart"/>
      <w:r w:rsidRPr="003B04B1">
        <w:rPr>
          <w:rFonts w:ascii="Times New Roman" w:hAnsi="Times New Roman" w:cs="Times New Roman"/>
        </w:rPr>
        <w:t>шт</w:t>
      </w:r>
      <w:proofErr w:type="spellEnd"/>
      <w:r w:rsidRPr="003B04B1">
        <w:rPr>
          <w:rFonts w:ascii="Times New Roman" w:hAnsi="Times New Roman" w:cs="Times New Roman"/>
        </w:rPr>
        <w:t xml:space="preserve">, в том числе: АЗС в районах ЦАО - не менее 10 АЗС; САО – не менее 10 АЗС; СВАО – не менее 10 АЗС; ЮАО – не менее 10 АЗС; ЮВАО – не менее 10 АЗС; </w:t>
      </w:r>
      <w:r w:rsidRPr="003B04B1">
        <w:rPr>
          <w:rFonts w:ascii="Times New Roman" w:hAnsi="Times New Roman" w:cs="Times New Roman"/>
        </w:rPr>
        <w:lastRenderedPageBreak/>
        <w:t xml:space="preserve">ЗАО – не менее 10 АЗС; </w:t>
      </w:r>
      <w:proofErr w:type="spellStart"/>
      <w:r w:rsidRPr="003B04B1">
        <w:rPr>
          <w:rFonts w:ascii="Times New Roman" w:hAnsi="Times New Roman" w:cs="Times New Roman"/>
        </w:rPr>
        <w:t>ТиНАО</w:t>
      </w:r>
      <w:proofErr w:type="spellEnd"/>
      <w:r w:rsidRPr="003B04B1">
        <w:rPr>
          <w:rFonts w:ascii="Times New Roman" w:hAnsi="Times New Roman" w:cs="Times New Roman"/>
        </w:rPr>
        <w:t xml:space="preserve"> – не менее 10 АЗС.</w:t>
      </w:r>
    </w:p>
    <w:p w:rsidR="003B04B1" w:rsidRPr="003B04B1" w:rsidRDefault="003B04B1" w:rsidP="003B04B1">
      <w:pPr>
        <w:tabs>
          <w:tab w:val="left" w:pos="720"/>
        </w:tabs>
        <w:spacing w:after="0"/>
        <w:ind w:firstLine="709"/>
        <w:jc w:val="both"/>
        <w:rPr>
          <w:rFonts w:ascii="Times New Roman" w:hAnsi="Times New Roman" w:cs="Times New Roman"/>
        </w:rPr>
      </w:pPr>
      <w:r w:rsidRPr="003B04B1">
        <w:rPr>
          <w:rFonts w:ascii="Times New Roman" w:hAnsi="Times New Roman" w:cs="Times New Roman"/>
        </w:rPr>
        <w:t>Обеспечение Заказчика топливом марки АИ-95 и ДТ осуществляется Исполнителем путем предоставления микропроцессорной пластиковой смарт-карты (далее – ПК) позволяющей Держателю (уполномоченному) Заказчиком, получать топливо на АЗС.</w:t>
      </w:r>
    </w:p>
    <w:p w:rsidR="003B04B1" w:rsidRPr="003B04B1" w:rsidRDefault="003B04B1" w:rsidP="003B04B1">
      <w:pPr>
        <w:tabs>
          <w:tab w:val="left" w:pos="720"/>
        </w:tabs>
        <w:spacing w:after="0"/>
        <w:ind w:firstLine="709"/>
        <w:jc w:val="both"/>
        <w:rPr>
          <w:rFonts w:ascii="Times New Roman" w:hAnsi="Times New Roman" w:cs="Times New Roman"/>
        </w:rPr>
      </w:pPr>
      <w:r w:rsidRPr="003B04B1">
        <w:rPr>
          <w:rFonts w:ascii="Times New Roman" w:hAnsi="Times New Roman" w:cs="Times New Roman"/>
        </w:rPr>
        <w:t xml:space="preserve">ПК не является платежным средством. </w:t>
      </w:r>
    </w:p>
    <w:p w:rsidR="003B04B1" w:rsidRPr="003B04B1" w:rsidRDefault="003B04B1" w:rsidP="003B04B1">
      <w:pPr>
        <w:tabs>
          <w:tab w:val="left" w:pos="720"/>
        </w:tabs>
        <w:spacing w:after="0"/>
        <w:ind w:firstLine="709"/>
        <w:jc w:val="both"/>
        <w:rPr>
          <w:rFonts w:ascii="Times New Roman" w:hAnsi="Times New Roman" w:cs="Times New Roman"/>
        </w:rPr>
      </w:pPr>
      <w:r w:rsidRPr="003B04B1">
        <w:rPr>
          <w:rFonts w:ascii="Times New Roman" w:hAnsi="Times New Roman" w:cs="Times New Roman"/>
        </w:rPr>
        <w:t xml:space="preserve">ПК – лимитированная, с возможностью установки суточного или месячного лимита топлива. </w:t>
      </w:r>
    </w:p>
    <w:p w:rsidR="003B04B1" w:rsidRPr="003B04B1" w:rsidRDefault="003B04B1" w:rsidP="003B04B1">
      <w:pPr>
        <w:tabs>
          <w:tab w:val="left" w:pos="720"/>
        </w:tabs>
        <w:spacing w:after="0"/>
        <w:ind w:firstLine="709"/>
        <w:jc w:val="both"/>
        <w:rPr>
          <w:rFonts w:ascii="Times New Roman" w:hAnsi="Times New Roman" w:cs="Times New Roman"/>
        </w:rPr>
      </w:pPr>
      <w:r w:rsidRPr="003B04B1">
        <w:rPr>
          <w:rFonts w:ascii="Times New Roman" w:hAnsi="Times New Roman" w:cs="Times New Roman"/>
        </w:rPr>
        <w:t>Получение ПК осуществляется путем составления соответствующей заявки Исполнителю с указанием номеров автомобилей (или Фамилий водителей), марки топлива и суточного лимита отпуска на каждый автомобиль.</w:t>
      </w:r>
    </w:p>
    <w:p w:rsidR="003B04B1" w:rsidRPr="003B04B1" w:rsidRDefault="003B04B1" w:rsidP="003B04B1">
      <w:pPr>
        <w:tabs>
          <w:tab w:val="left" w:pos="720"/>
        </w:tabs>
        <w:spacing w:after="0"/>
        <w:ind w:firstLine="709"/>
        <w:jc w:val="both"/>
        <w:rPr>
          <w:rFonts w:ascii="Times New Roman" w:hAnsi="Times New Roman" w:cs="Times New Roman"/>
        </w:rPr>
      </w:pPr>
      <w:r w:rsidRPr="003B04B1">
        <w:rPr>
          <w:rFonts w:ascii="Times New Roman" w:hAnsi="Times New Roman" w:cs="Times New Roman"/>
        </w:rPr>
        <w:t>Каждая ПК должна иметь персональный идентификационный код (</w:t>
      </w:r>
      <w:proofErr w:type="spellStart"/>
      <w:r w:rsidRPr="003B04B1">
        <w:rPr>
          <w:rFonts w:ascii="Times New Roman" w:hAnsi="Times New Roman" w:cs="Times New Roman"/>
        </w:rPr>
        <w:t>пин</w:t>
      </w:r>
      <w:proofErr w:type="spellEnd"/>
      <w:r w:rsidRPr="003B04B1">
        <w:rPr>
          <w:rFonts w:ascii="Times New Roman" w:hAnsi="Times New Roman" w:cs="Times New Roman"/>
        </w:rPr>
        <w:t>-код).</w:t>
      </w:r>
    </w:p>
    <w:p w:rsidR="003B04B1" w:rsidRPr="003B04B1" w:rsidRDefault="003B04B1" w:rsidP="003B04B1">
      <w:pPr>
        <w:tabs>
          <w:tab w:val="left" w:pos="720"/>
        </w:tabs>
        <w:spacing w:after="0"/>
        <w:ind w:firstLine="709"/>
        <w:jc w:val="both"/>
        <w:rPr>
          <w:rFonts w:ascii="Times New Roman" w:hAnsi="Times New Roman" w:cs="Times New Roman"/>
        </w:rPr>
      </w:pPr>
      <w:r w:rsidRPr="00E93FE3">
        <w:rPr>
          <w:rFonts w:ascii="Times New Roman" w:hAnsi="Times New Roman" w:cs="Times New Roman"/>
        </w:rPr>
        <w:t>Поставщи</w:t>
      </w:r>
      <w:r w:rsidRPr="003B04B1">
        <w:rPr>
          <w:rFonts w:ascii="Times New Roman" w:hAnsi="Times New Roman" w:cs="Times New Roman"/>
        </w:rPr>
        <w:t>к обеспечивает возможность блокировки ПК в течении 2-х часов после получения заявки Заказчика.</w:t>
      </w:r>
    </w:p>
    <w:p w:rsidR="003B04B1" w:rsidRPr="003B04B1" w:rsidRDefault="003B04B1" w:rsidP="003B04B1">
      <w:pPr>
        <w:tabs>
          <w:tab w:val="left" w:pos="720"/>
        </w:tabs>
        <w:spacing w:after="0"/>
        <w:ind w:firstLine="709"/>
        <w:jc w:val="both"/>
        <w:rPr>
          <w:rFonts w:ascii="Times New Roman" w:hAnsi="Times New Roman" w:cs="Times New Roman"/>
        </w:rPr>
      </w:pPr>
      <w:r w:rsidRPr="00E93FE3">
        <w:rPr>
          <w:rFonts w:ascii="Times New Roman" w:hAnsi="Times New Roman" w:cs="Times New Roman"/>
        </w:rPr>
        <w:t>Поставщик</w:t>
      </w:r>
      <w:r w:rsidRPr="003B04B1">
        <w:rPr>
          <w:rFonts w:ascii="Times New Roman" w:hAnsi="Times New Roman" w:cs="Times New Roman"/>
        </w:rPr>
        <w:t xml:space="preserve"> обеспечивает Заказчика актуальным списком АЗС, принимающие к использованию ПК.</w:t>
      </w:r>
    </w:p>
    <w:p w:rsidR="003B04B1" w:rsidRPr="003B04B1" w:rsidRDefault="003B04B1" w:rsidP="003B04B1">
      <w:pPr>
        <w:tabs>
          <w:tab w:val="left" w:pos="720"/>
        </w:tabs>
        <w:spacing w:after="0"/>
        <w:ind w:firstLine="709"/>
        <w:jc w:val="both"/>
        <w:rPr>
          <w:rFonts w:ascii="Times New Roman" w:hAnsi="Times New Roman" w:cs="Times New Roman"/>
        </w:rPr>
      </w:pPr>
      <w:r w:rsidRPr="003B04B1">
        <w:rPr>
          <w:rFonts w:ascii="Times New Roman" w:hAnsi="Times New Roman" w:cs="Times New Roman"/>
        </w:rPr>
        <w:t>Гарантированное обслуживание топливом Заказчика в период возможного дефицита топлива.</w:t>
      </w:r>
    </w:p>
    <w:p w:rsidR="003B04B1" w:rsidRPr="003B04B1" w:rsidRDefault="003B04B1" w:rsidP="003B04B1">
      <w:pPr>
        <w:tabs>
          <w:tab w:val="left" w:pos="720"/>
        </w:tabs>
        <w:spacing w:after="0"/>
        <w:ind w:firstLine="709"/>
        <w:jc w:val="both"/>
        <w:rPr>
          <w:rFonts w:ascii="Times New Roman" w:hAnsi="Times New Roman" w:cs="Times New Roman"/>
        </w:rPr>
      </w:pPr>
      <w:r w:rsidRPr="003B04B1">
        <w:rPr>
          <w:rFonts w:ascii="Times New Roman" w:hAnsi="Times New Roman" w:cs="Times New Roman"/>
        </w:rPr>
        <w:t>Срок действия ПК – с даты заключения Государственного контракта, но не ранее 01.01.2023 г. по 30.06.2023 г.</w:t>
      </w:r>
    </w:p>
    <w:p w:rsidR="003B04B1" w:rsidRPr="003B04B1" w:rsidRDefault="003B04B1" w:rsidP="003B04B1">
      <w:pPr>
        <w:pStyle w:val="a8"/>
        <w:numPr>
          <w:ilvl w:val="0"/>
          <w:numId w:val="2"/>
        </w:numPr>
        <w:tabs>
          <w:tab w:val="left" w:pos="720"/>
        </w:tabs>
        <w:spacing w:after="0" w:line="240" w:lineRule="auto"/>
        <w:jc w:val="both"/>
        <w:rPr>
          <w:rFonts w:ascii="Times New Roman" w:hAnsi="Times New Roman" w:cs="Times New Roman"/>
          <w:b/>
        </w:rPr>
      </w:pPr>
      <w:bookmarkStart w:id="0" w:name="_GoBack"/>
      <w:bookmarkEnd w:id="0"/>
      <w:r w:rsidRPr="003B04B1">
        <w:rPr>
          <w:rFonts w:ascii="Times New Roman" w:hAnsi="Times New Roman" w:cs="Times New Roman"/>
          <w:b/>
        </w:rPr>
        <w:t xml:space="preserve">Срок оказания услуг </w:t>
      </w:r>
      <w:r w:rsidRPr="003B04B1">
        <w:rPr>
          <w:rFonts w:ascii="Times New Roman" w:hAnsi="Times New Roman" w:cs="Times New Roman"/>
          <w:b/>
          <w:bCs/>
        </w:rPr>
        <w:t>(отдельных этапов исполнения контракта)</w:t>
      </w:r>
      <w:r w:rsidRPr="003B04B1">
        <w:rPr>
          <w:rFonts w:ascii="Times New Roman" w:hAnsi="Times New Roman" w:cs="Times New Roman"/>
          <w:b/>
        </w:rPr>
        <w:t>:</w:t>
      </w:r>
    </w:p>
    <w:p w:rsidR="003B04B1" w:rsidRPr="003B04B1" w:rsidRDefault="003B04B1" w:rsidP="003B04B1">
      <w:pPr>
        <w:tabs>
          <w:tab w:val="left" w:pos="720"/>
        </w:tabs>
        <w:spacing w:after="0" w:line="240" w:lineRule="auto"/>
        <w:ind w:firstLine="709"/>
        <w:jc w:val="both"/>
        <w:rPr>
          <w:rFonts w:ascii="Times New Roman" w:hAnsi="Times New Roman" w:cs="Times New Roman"/>
        </w:rPr>
      </w:pPr>
      <w:r w:rsidRPr="003B04B1">
        <w:rPr>
          <w:rFonts w:ascii="Times New Roman" w:hAnsi="Times New Roman" w:cs="Times New Roman"/>
        </w:rPr>
        <w:t>С даты заключения Государственного контракта, но не ранее 01.01.2023 г. по 30.06.2023 г., в том числе по этапам:</w:t>
      </w:r>
    </w:p>
    <w:p w:rsidR="003B04B1" w:rsidRPr="003B04B1" w:rsidRDefault="003B04B1" w:rsidP="003B04B1">
      <w:pPr>
        <w:snapToGrid w:val="0"/>
        <w:spacing w:after="0" w:line="240" w:lineRule="auto"/>
        <w:rPr>
          <w:rFonts w:ascii="Times New Roman" w:hAnsi="Times New Roman" w:cs="Times New Roman"/>
        </w:rPr>
      </w:pPr>
      <w:r w:rsidRPr="003B04B1">
        <w:rPr>
          <w:rFonts w:ascii="Times New Roman" w:hAnsi="Times New Roman" w:cs="Times New Roman"/>
        </w:rPr>
        <w:t>- с даты заключения государственного контракта, но не ранее 01.01.2023 г. по 31.01.2023 г.;</w:t>
      </w:r>
    </w:p>
    <w:p w:rsidR="003B04B1" w:rsidRPr="003B04B1" w:rsidRDefault="003B04B1" w:rsidP="003B04B1">
      <w:pPr>
        <w:snapToGrid w:val="0"/>
        <w:spacing w:after="0" w:line="240" w:lineRule="auto"/>
        <w:rPr>
          <w:rFonts w:ascii="Times New Roman" w:hAnsi="Times New Roman" w:cs="Times New Roman"/>
        </w:rPr>
      </w:pPr>
      <w:r w:rsidRPr="003B04B1">
        <w:rPr>
          <w:rFonts w:ascii="Times New Roman" w:hAnsi="Times New Roman" w:cs="Times New Roman"/>
        </w:rPr>
        <w:t>- с 01.02.2023 г. по 28.02.2023 г.;</w:t>
      </w:r>
    </w:p>
    <w:p w:rsidR="003B04B1" w:rsidRPr="003B04B1" w:rsidRDefault="003B04B1" w:rsidP="003B04B1">
      <w:pPr>
        <w:snapToGrid w:val="0"/>
        <w:spacing w:after="0" w:line="240" w:lineRule="auto"/>
        <w:rPr>
          <w:rFonts w:ascii="Times New Roman" w:hAnsi="Times New Roman" w:cs="Times New Roman"/>
        </w:rPr>
      </w:pPr>
      <w:r w:rsidRPr="003B04B1">
        <w:rPr>
          <w:rFonts w:ascii="Times New Roman" w:hAnsi="Times New Roman" w:cs="Times New Roman"/>
        </w:rPr>
        <w:t>- с 01.03.2023 г. по 31.03.2023 г.;</w:t>
      </w:r>
    </w:p>
    <w:p w:rsidR="003B04B1" w:rsidRPr="003B04B1" w:rsidRDefault="003B04B1" w:rsidP="003B04B1">
      <w:pPr>
        <w:snapToGrid w:val="0"/>
        <w:spacing w:after="0"/>
        <w:rPr>
          <w:rFonts w:ascii="Times New Roman" w:hAnsi="Times New Roman" w:cs="Times New Roman"/>
        </w:rPr>
      </w:pPr>
      <w:r w:rsidRPr="003B04B1">
        <w:rPr>
          <w:rFonts w:ascii="Times New Roman" w:hAnsi="Times New Roman" w:cs="Times New Roman"/>
        </w:rPr>
        <w:t>- с 01.04.2023 г. по 30.04.2023 г.;</w:t>
      </w:r>
    </w:p>
    <w:p w:rsidR="003B04B1" w:rsidRPr="003B04B1" w:rsidRDefault="003B04B1" w:rsidP="003B04B1">
      <w:pPr>
        <w:snapToGrid w:val="0"/>
        <w:spacing w:after="0"/>
        <w:rPr>
          <w:rFonts w:ascii="Times New Roman" w:hAnsi="Times New Roman" w:cs="Times New Roman"/>
        </w:rPr>
      </w:pPr>
      <w:r w:rsidRPr="003B04B1">
        <w:rPr>
          <w:rFonts w:ascii="Times New Roman" w:hAnsi="Times New Roman" w:cs="Times New Roman"/>
        </w:rPr>
        <w:t>- с 01.05.2023 г. по 31.05.2023 г.;</w:t>
      </w:r>
    </w:p>
    <w:p w:rsidR="003B04B1" w:rsidRPr="003B04B1" w:rsidRDefault="003B04B1" w:rsidP="003B04B1">
      <w:pPr>
        <w:spacing w:after="0"/>
        <w:jc w:val="both"/>
        <w:rPr>
          <w:rFonts w:ascii="Times New Roman" w:hAnsi="Times New Roman" w:cs="Times New Roman"/>
        </w:rPr>
      </w:pPr>
      <w:r w:rsidRPr="003B04B1">
        <w:rPr>
          <w:rFonts w:ascii="Times New Roman" w:hAnsi="Times New Roman" w:cs="Times New Roman"/>
        </w:rPr>
        <w:t>- с 01.06.2023 г. по 30.06.2023 г.</w:t>
      </w:r>
    </w:p>
    <w:p w:rsidR="00D56556" w:rsidRPr="00D56556" w:rsidRDefault="00D56556" w:rsidP="00D56556">
      <w:pPr>
        <w:tabs>
          <w:tab w:val="left" w:pos="720"/>
        </w:tabs>
        <w:spacing w:after="0" w:line="240" w:lineRule="auto"/>
        <w:ind w:firstLine="709"/>
        <w:jc w:val="both"/>
        <w:rPr>
          <w:rFonts w:ascii="Times New Roman" w:hAnsi="Times New Roman" w:cs="Times New Roman"/>
          <w:sz w:val="24"/>
          <w:szCs w:val="24"/>
        </w:rPr>
      </w:pPr>
    </w:p>
    <w:p w:rsidR="00D56556" w:rsidRPr="00D56556" w:rsidRDefault="00D56556" w:rsidP="00D56556">
      <w:pPr>
        <w:spacing w:after="0" w:line="240" w:lineRule="auto"/>
        <w:jc w:val="both"/>
        <w:rPr>
          <w:rFonts w:ascii="Times New Roman" w:hAnsi="Times New Roman" w:cs="Times New Roman"/>
          <w:bCs/>
          <w:sz w:val="24"/>
          <w:szCs w:val="24"/>
        </w:rPr>
      </w:pPr>
    </w:p>
    <w:p w:rsidR="00BF38BF" w:rsidRPr="00D56556" w:rsidRDefault="00BF38BF" w:rsidP="00BF38BF">
      <w:pPr>
        <w:widowControl w:val="0"/>
        <w:spacing w:after="0" w:line="240" w:lineRule="auto"/>
        <w:ind w:firstLine="700"/>
        <w:jc w:val="both"/>
        <w:rPr>
          <w:rFonts w:ascii="Times New Roman" w:eastAsia="Times New Roman" w:hAnsi="Times New Roman" w:cs="Times New Roman"/>
          <w:snapToGrid w:val="0"/>
          <w:sz w:val="24"/>
          <w:szCs w:val="24"/>
          <w:lang w:eastAsia="ru-RU"/>
        </w:rPr>
      </w:pPr>
    </w:p>
    <w:sectPr w:rsidR="00BF38BF" w:rsidRPr="00D56556" w:rsidSect="00D56556">
      <w:headerReference w:type="default" r:id="rId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C82" w:rsidRDefault="00D36C82">
      <w:pPr>
        <w:spacing w:after="0" w:line="240" w:lineRule="auto"/>
      </w:pPr>
      <w:r>
        <w:separator/>
      </w:r>
    </w:p>
  </w:endnote>
  <w:endnote w:type="continuationSeparator" w:id="0">
    <w:p w:rsidR="00D36C82" w:rsidRDefault="00D3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C82" w:rsidRDefault="00D36C82">
      <w:pPr>
        <w:spacing w:after="0" w:line="240" w:lineRule="auto"/>
      </w:pPr>
      <w:r>
        <w:separator/>
      </w:r>
    </w:p>
  </w:footnote>
  <w:footnote w:type="continuationSeparator" w:id="0">
    <w:p w:rsidR="00D36C82" w:rsidRDefault="00D3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864199"/>
      <w:docPartObj>
        <w:docPartGallery w:val="Page Numbers (Top of Page)"/>
        <w:docPartUnique/>
      </w:docPartObj>
    </w:sdtPr>
    <w:sdtEndPr>
      <w:rPr>
        <w:sz w:val="20"/>
        <w:szCs w:val="20"/>
      </w:rPr>
    </w:sdtEndPr>
    <w:sdtContent>
      <w:p w:rsidR="00C84919" w:rsidRPr="00070AAA" w:rsidRDefault="00C84919" w:rsidP="00E86CAE">
        <w:pPr>
          <w:pStyle w:val="a3"/>
          <w:jc w:val="center"/>
          <w:rPr>
            <w:sz w:val="20"/>
            <w:szCs w:val="20"/>
          </w:rPr>
        </w:pPr>
        <w:r w:rsidRPr="00070AAA">
          <w:rPr>
            <w:sz w:val="20"/>
            <w:szCs w:val="20"/>
          </w:rPr>
          <w:fldChar w:fldCharType="begin"/>
        </w:r>
        <w:r w:rsidRPr="00070AAA">
          <w:rPr>
            <w:sz w:val="20"/>
            <w:szCs w:val="20"/>
          </w:rPr>
          <w:instrText>PAGE   \* MERGEFORMAT</w:instrText>
        </w:r>
        <w:r w:rsidRPr="00070AAA">
          <w:rPr>
            <w:sz w:val="20"/>
            <w:szCs w:val="20"/>
          </w:rPr>
          <w:fldChar w:fldCharType="separate"/>
        </w:r>
        <w:r w:rsidR="00BC34A7">
          <w:rPr>
            <w:noProof/>
            <w:sz w:val="20"/>
            <w:szCs w:val="20"/>
          </w:rPr>
          <w:t>2</w:t>
        </w:r>
        <w:r w:rsidRPr="00070AAA">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3E81"/>
    <w:multiLevelType w:val="hybridMultilevel"/>
    <w:tmpl w:val="392C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D77256"/>
    <w:multiLevelType w:val="hybridMultilevel"/>
    <w:tmpl w:val="4FD64B38"/>
    <w:lvl w:ilvl="0" w:tplc="11C036C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F"/>
    <w:rsid w:val="00087EBE"/>
    <w:rsid w:val="000D10F0"/>
    <w:rsid w:val="000D766D"/>
    <w:rsid w:val="00125A50"/>
    <w:rsid w:val="001E0FD7"/>
    <w:rsid w:val="002D1034"/>
    <w:rsid w:val="002D60E9"/>
    <w:rsid w:val="003419B1"/>
    <w:rsid w:val="003B04B1"/>
    <w:rsid w:val="003C5F68"/>
    <w:rsid w:val="003F6F48"/>
    <w:rsid w:val="00404D2F"/>
    <w:rsid w:val="004B0C2A"/>
    <w:rsid w:val="006C5F8F"/>
    <w:rsid w:val="006E0650"/>
    <w:rsid w:val="007108F6"/>
    <w:rsid w:val="00714E1F"/>
    <w:rsid w:val="007C4A80"/>
    <w:rsid w:val="007D24AE"/>
    <w:rsid w:val="00875D7C"/>
    <w:rsid w:val="00914950"/>
    <w:rsid w:val="00993A15"/>
    <w:rsid w:val="009B42EB"/>
    <w:rsid w:val="00A37619"/>
    <w:rsid w:val="00AC1004"/>
    <w:rsid w:val="00B414A9"/>
    <w:rsid w:val="00B466D5"/>
    <w:rsid w:val="00BC2AFF"/>
    <w:rsid w:val="00BC34A7"/>
    <w:rsid w:val="00BF38BF"/>
    <w:rsid w:val="00C40393"/>
    <w:rsid w:val="00C47DFC"/>
    <w:rsid w:val="00C73492"/>
    <w:rsid w:val="00C84919"/>
    <w:rsid w:val="00CD650B"/>
    <w:rsid w:val="00D24457"/>
    <w:rsid w:val="00D36C82"/>
    <w:rsid w:val="00D56556"/>
    <w:rsid w:val="00D5757C"/>
    <w:rsid w:val="00D617F6"/>
    <w:rsid w:val="00D92C1F"/>
    <w:rsid w:val="00E033E4"/>
    <w:rsid w:val="00E1728C"/>
    <w:rsid w:val="00E318D7"/>
    <w:rsid w:val="00E86CAE"/>
    <w:rsid w:val="00E93FE3"/>
    <w:rsid w:val="00F50DD4"/>
    <w:rsid w:val="00F70E63"/>
    <w:rsid w:val="00F80129"/>
    <w:rsid w:val="00F821B6"/>
    <w:rsid w:val="00FC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D5D2-EBA3-40A1-BD71-8C9D0C30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F38BF"/>
    <w:rPr>
      <w:rFonts w:ascii="Times New Roman" w:eastAsia="Times New Roman" w:hAnsi="Times New Roman" w:cs="Times New Roman"/>
      <w:sz w:val="24"/>
      <w:szCs w:val="24"/>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6"/>
    <w:rsid w:val="00E86CA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5"/>
    <w:rsid w:val="00E86CAE"/>
    <w:rPr>
      <w:rFonts w:ascii="Times New Roman" w:eastAsia="Times New Roman" w:hAnsi="Times New Roman" w:cs="Times New Roman"/>
      <w:sz w:val="20"/>
      <w:szCs w:val="20"/>
      <w:lang w:eastAsia="ru-RU"/>
    </w:rPr>
  </w:style>
  <w:style w:type="character" w:styleId="a7">
    <w:name w:val="footnote reference"/>
    <w:aliases w:val="Ссылка на сноску 45"/>
    <w:rsid w:val="00E86CAE"/>
    <w:rPr>
      <w:rFonts w:cs="Times New Roman"/>
      <w:vertAlign w:val="superscript"/>
    </w:rPr>
  </w:style>
  <w:style w:type="paragraph" w:styleId="a8">
    <w:name w:val="List Paragraph"/>
    <w:aliases w:val="Нумерованый список,Bullet List,FooterText,numbered,SL_Абзац списка,Paragraphe de liste1,lp1,GOST_TableList"/>
    <w:basedOn w:val="a"/>
    <w:link w:val="a9"/>
    <w:uiPriority w:val="34"/>
    <w:qFormat/>
    <w:rsid w:val="00A37619"/>
    <w:pPr>
      <w:ind w:left="720"/>
      <w:contextualSpacing/>
    </w:pPr>
  </w:style>
  <w:style w:type="paragraph" w:styleId="aa">
    <w:name w:val="footer"/>
    <w:basedOn w:val="a"/>
    <w:link w:val="ab"/>
    <w:uiPriority w:val="99"/>
    <w:unhideWhenUsed/>
    <w:rsid w:val="00F821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21B6"/>
  </w:style>
  <w:style w:type="character" w:customStyle="1" w:styleId="a9">
    <w:name w:val="Абзац списка Знак"/>
    <w:aliases w:val="Нумерованый список Знак,Bullet List Знак,FooterText Знак,numbered Знак,SL_Абзац списка Знак,Paragraphe de liste1 Знак,lp1 Знак,GOST_TableList Знак"/>
    <w:link w:val="a8"/>
    <w:uiPriority w:val="34"/>
    <w:locked/>
    <w:rsid w:val="00D56556"/>
  </w:style>
  <w:style w:type="character" w:customStyle="1" w:styleId="cardmaininfotitle2">
    <w:name w:val="cardmaininfo__title2"/>
    <w:basedOn w:val="a0"/>
    <w:rsid w:val="003B04B1"/>
    <w:rPr>
      <w:color w:val="909EB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007">
      <w:bodyDiv w:val="1"/>
      <w:marLeft w:val="0"/>
      <w:marRight w:val="0"/>
      <w:marTop w:val="0"/>
      <w:marBottom w:val="0"/>
      <w:divBdr>
        <w:top w:val="none" w:sz="0" w:space="0" w:color="auto"/>
        <w:left w:val="none" w:sz="0" w:space="0" w:color="auto"/>
        <w:bottom w:val="none" w:sz="0" w:space="0" w:color="auto"/>
        <w:right w:val="none" w:sz="0" w:space="0" w:color="auto"/>
      </w:divBdr>
    </w:div>
    <w:div w:id="9256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 Геннадий Петрович</dc:creator>
  <cp:keywords/>
  <dc:description/>
  <cp:lastModifiedBy>Ефремова Анна Дмитриевна</cp:lastModifiedBy>
  <cp:revision>17</cp:revision>
  <dcterms:created xsi:type="dcterms:W3CDTF">2022-02-22T07:24:00Z</dcterms:created>
  <dcterms:modified xsi:type="dcterms:W3CDTF">2022-11-24T15:47:00Z</dcterms:modified>
</cp:coreProperties>
</file>