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61" w:rsidRDefault="005C45B5">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B6A61" w:rsidRDefault="005B6A61">
      <w:pPr>
        <w:spacing w:after="0"/>
        <w:jc w:val="right"/>
        <w:rPr>
          <w:rFonts w:ascii="Times New Roman" w:eastAsia="Calibri" w:hAnsi="Times New Roman" w:cs="Times New Roman"/>
          <w:sz w:val="20"/>
          <w:szCs w:val="20"/>
        </w:rPr>
      </w:pPr>
    </w:p>
    <w:p w:rsidR="00DD6220" w:rsidRPr="00BC4780" w:rsidRDefault="005C45B5" w:rsidP="00352B53">
      <w:pPr>
        <w:autoSpaceDE w:val="0"/>
        <w:autoSpaceDN w:val="0"/>
        <w:adjustRightInd w:val="0"/>
        <w:spacing w:after="0" w:line="240" w:lineRule="auto"/>
        <w:jc w:val="center"/>
        <w:rPr>
          <w:rFonts w:ascii="Times New Roman" w:hAnsi="Times New Roman" w:cs="Times New Roman"/>
          <w:b/>
          <w:sz w:val="24"/>
          <w:szCs w:val="24"/>
        </w:rPr>
      </w:pPr>
      <w:r w:rsidRPr="00BC4780">
        <w:rPr>
          <w:rFonts w:ascii="Times New Roman" w:hAnsi="Times New Roman" w:cs="Times New Roman"/>
          <w:b/>
          <w:sz w:val="24"/>
          <w:szCs w:val="24"/>
        </w:rPr>
        <w:t>Описание объекта закупки (техническое задание)</w:t>
      </w:r>
    </w:p>
    <w:p w:rsidR="005B6A61" w:rsidRPr="00BC4780" w:rsidRDefault="00352B53">
      <w:pPr>
        <w:autoSpaceDE w:val="0"/>
        <w:adjustRightInd w:val="0"/>
        <w:spacing w:after="0"/>
        <w:jc w:val="center"/>
        <w:rPr>
          <w:rFonts w:ascii="Times New Roman" w:eastAsia="Calibri" w:hAnsi="Times New Roman" w:cs="Times New Roman"/>
          <w:sz w:val="24"/>
          <w:szCs w:val="24"/>
        </w:rPr>
      </w:pPr>
      <w:r w:rsidRPr="00BC4780">
        <w:rPr>
          <w:rFonts w:ascii="Times New Roman" w:eastAsia="Times New Roman" w:hAnsi="Times New Roman" w:cs="Times New Roman"/>
          <w:iCs/>
          <w:sz w:val="24"/>
          <w:szCs w:val="24"/>
          <w:lang w:eastAsia="ru-RU"/>
        </w:rPr>
        <w:t>на в</w:t>
      </w:r>
      <w:r w:rsidR="005C45B5" w:rsidRPr="00BC4780">
        <w:rPr>
          <w:rFonts w:ascii="Times New Roman" w:eastAsia="Times New Roman" w:hAnsi="Times New Roman" w:cs="Times New Roman"/>
          <w:iCs/>
          <w:sz w:val="24"/>
          <w:szCs w:val="24"/>
          <w:lang w:eastAsia="ru-RU"/>
        </w:rPr>
        <w:t xml:space="preserve">ыполнение </w:t>
      </w:r>
      <w:r w:rsidR="00F937F2" w:rsidRPr="00BC4780">
        <w:rPr>
          <w:rFonts w:ascii="Times New Roman" w:hAnsi="Times New Roman"/>
          <w:sz w:val="24"/>
          <w:szCs w:val="24"/>
        </w:rPr>
        <w:t xml:space="preserve">работ </w:t>
      </w:r>
      <w:r w:rsidR="00696499">
        <w:rPr>
          <w:rFonts w:ascii="Times New Roman" w:hAnsi="Times New Roman"/>
          <w:sz w:val="24"/>
          <w:szCs w:val="24"/>
        </w:rPr>
        <w:t>протезами бедра модульными</w:t>
      </w:r>
      <w:r w:rsidR="00B27897" w:rsidRPr="00B27897">
        <w:rPr>
          <w:rFonts w:ascii="Times New Roman" w:hAnsi="Times New Roman"/>
          <w:sz w:val="24"/>
          <w:szCs w:val="24"/>
        </w:rPr>
        <w:t>, в том числе при врожденном недоразвитии</w:t>
      </w:r>
      <w:r w:rsidR="005C45B5" w:rsidRPr="00BC4780">
        <w:rPr>
          <w:rFonts w:ascii="Times New Roman" w:eastAsia="Calibri" w:hAnsi="Times New Roman" w:cs="Times New Roman"/>
          <w:sz w:val="24"/>
          <w:szCs w:val="24"/>
        </w:rPr>
        <w:t>.</w:t>
      </w:r>
    </w:p>
    <w:p w:rsidR="005B6A61" w:rsidRPr="00BC4780" w:rsidRDefault="005B6A61">
      <w:pPr>
        <w:pStyle w:val="3"/>
        <w:tabs>
          <w:tab w:val="left" w:pos="6600"/>
        </w:tabs>
        <w:spacing w:after="0" w:line="240" w:lineRule="auto"/>
        <w:jc w:val="center"/>
        <w:rPr>
          <w:bCs/>
          <w:sz w:val="18"/>
          <w:szCs w:val="18"/>
        </w:rPr>
      </w:pPr>
    </w:p>
    <w:tbl>
      <w:tblPr>
        <w:tblW w:w="149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1475"/>
        <w:gridCol w:w="3119"/>
        <w:gridCol w:w="9072"/>
        <w:gridCol w:w="850"/>
      </w:tblGrid>
      <w:tr w:rsidR="005B6A61" w:rsidTr="00904B12">
        <w:trPr>
          <w:trHeight w:val="400"/>
        </w:trPr>
        <w:tc>
          <w:tcPr>
            <w:tcW w:w="426" w:type="dxa"/>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 п/п</w:t>
            </w:r>
          </w:p>
        </w:tc>
        <w:tc>
          <w:tcPr>
            <w:tcW w:w="1475" w:type="dxa"/>
            <w:tcBorders>
              <w:right w:val="single" w:sz="4" w:space="0" w:color="auto"/>
            </w:tcBorders>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Наименование товара (работы, услуги)</w:t>
            </w:r>
          </w:p>
        </w:tc>
        <w:tc>
          <w:tcPr>
            <w:tcW w:w="12191" w:type="dxa"/>
            <w:gridSpan w:val="2"/>
            <w:tcBorders>
              <w:left w:val="single" w:sz="4" w:space="0" w:color="auto"/>
              <w:right w:val="single" w:sz="1" w:space="0" w:color="000000"/>
            </w:tcBorders>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работы (в случае отсутствия соответствующих позиций в КТРУ)</w:t>
            </w:r>
          </w:p>
        </w:tc>
        <w:tc>
          <w:tcPr>
            <w:tcW w:w="850" w:type="dxa"/>
            <w:tcBorders>
              <w:top w:val="single" w:sz="1" w:space="0" w:color="000000"/>
              <w:left w:val="single" w:sz="1" w:space="0" w:color="000000"/>
            </w:tcBorders>
            <w:shd w:val="clear" w:color="auto" w:fill="auto"/>
            <w:tcMar>
              <w:top w:w="55" w:type="dxa"/>
              <w:left w:w="55" w:type="dxa"/>
              <w:bottom w:w="55" w:type="dxa"/>
              <w:right w:w="55" w:type="dxa"/>
            </w:tcMar>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eastAsia="Andale Sans UI" w:hAnsi="Times New Roman" w:cs="Times New Roman"/>
                <w:sz w:val="20"/>
                <w:szCs w:val="20"/>
                <w:lang w:eastAsia="zh-CN"/>
              </w:rPr>
              <w:t>Кол-во, (шт.)</w:t>
            </w:r>
          </w:p>
        </w:tc>
      </w:tr>
      <w:tr w:rsidR="00FC5202" w:rsidTr="00BA446F">
        <w:trPr>
          <w:trHeight w:val="213"/>
        </w:trPr>
        <w:tc>
          <w:tcPr>
            <w:tcW w:w="426" w:type="dxa"/>
            <w:tcMar>
              <w:top w:w="55" w:type="dxa"/>
              <w:left w:w="55" w:type="dxa"/>
              <w:bottom w:w="55" w:type="dxa"/>
              <w:right w:w="55" w:type="dxa"/>
            </w:tcMar>
          </w:tcPr>
          <w:p w:rsidR="00FC5202" w:rsidRDefault="00FC5202">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1.</w:t>
            </w:r>
          </w:p>
        </w:tc>
        <w:tc>
          <w:tcPr>
            <w:tcW w:w="1475" w:type="dxa"/>
            <w:tcBorders>
              <w:right w:val="single" w:sz="4" w:space="0" w:color="auto"/>
            </w:tcBorders>
            <w:tcMar>
              <w:top w:w="55" w:type="dxa"/>
              <w:left w:w="55" w:type="dxa"/>
              <w:bottom w:w="55" w:type="dxa"/>
              <w:right w:w="55" w:type="dxa"/>
            </w:tcMar>
          </w:tcPr>
          <w:p w:rsidR="00FC5202" w:rsidRDefault="004A4C2C">
            <w:pPr>
              <w:tabs>
                <w:tab w:val="left" w:pos="6600"/>
              </w:tabs>
              <w:spacing w:after="0" w:line="240" w:lineRule="auto"/>
              <w:contextualSpacing/>
              <w:jc w:val="center"/>
              <w:rPr>
                <w:rFonts w:ascii="Times New Roman" w:hAnsi="Times New Roman" w:cs="Times New Roman"/>
                <w:bCs/>
                <w:sz w:val="20"/>
                <w:szCs w:val="20"/>
                <w:lang w:eastAsia="zh-CN"/>
              </w:rPr>
            </w:pPr>
            <w:r w:rsidRPr="004A4C2C">
              <w:rPr>
                <w:rFonts w:ascii="Times New Roman" w:hAnsi="Times New Roman"/>
                <w:kern w:val="3"/>
                <w:sz w:val="20"/>
                <w:szCs w:val="20"/>
              </w:rPr>
              <w:t>Выполнение работ для обесп</w:t>
            </w:r>
            <w:r w:rsidR="00696499">
              <w:rPr>
                <w:rFonts w:ascii="Times New Roman" w:hAnsi="Times New Roman"/>
                <w:kern w:val="3"/>
                <w:sz w:val="20"/>
                <w:szCs w:val="20"/>
              </w:rPr>
              <w:t>ечения протезами бедра модульными</w:t>
            </w:r>
            <w:r w:rsidRPr="004A4C2C">
              <w:rPr>
                <w:rFonts w:ascii="Times New Roman" w:hAnsi="Times New Roman"/>
                <w:kern w:val="3"/>
                <w:sz w:val="20"/>
                <w:szCs w:val="20"/>
              </w:rPr>
              <w:t>, в том числе при врожденном недоразвитии</w:t>
            </w:r>
          </w:p>
        </w:tc>
        <w:tc>
          <w:tcPr>
            <w:tcW w:w="3119" w:type="dxa"/>
            <w:tcBorders>
              <w:left w:val="single" w:sz="4" w:space="0" w:color="auto"/>
            </w:tcBorders>
          </w:tcPr>
          <w:p w:rsidR="00FC5202" w:rsidRDefault="004A4C2C" w:rsidP="00FC5202">
            <w:pPr>
              <w:spacing w:after="0" w:line="240" w:lineRule="auto"/>
              <w:ind w:right="131"/>
              <w:contextualSpacing/>
              <w:jc w:val="both"/>
              <w:rPr>
                <w:rFonts w:ascii="Times New Roman" w:hAnsi="Times New Roman" w:cs="Times New Roman"/>
                <w:bCs/>
                <w:sz w:val="20"/>
                <w:szCs w:val="20"/>
                <w:lang w:eastAsia="zh-CN"/>
              </w:rPr>
            </w:pPr>
            <w:r w:rsidRPr="004A4C2C">
              <w:rPr>
                <w:rFonts w:ascii="Times New Roman" w:hAnsi="Times New Roman"/>
                <w:sz w:val="20"/>
                <w:szCs w:val="20"/>
              </w:rPr>
              <w:t xml:space="preserve">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4A4C2C">
              <w:rPr>
                <w:rFonts w:ascii="Times New Roman" w:hAnsi="Times New Roman"/>
                <w:sz w:val="20"/>
                <w:szCs w:val="20"/>
              </w:rPr>
              <w:t>перлоновые</w:t>
            </w:r>
            <w:proofErr w:type="spellEnd"/>
            <w:r w:rsidRPr="004A4C2C">
              <w:rPr>
                <w:rFonts w:ascii="Times New Roman" w:hAnsi="Times New Roman"/>
                <w:sz w:val="20"/>
                <w:szCs w:val="20"/>
              </w:rPr>
              <w:t xml:space="preserve"> или </w:t>
            </w:r>
            <w:proofErr w:type="spellStart"/>
            <w:r w:rsidRPr="004A4C2C">
              <w:rPr>
                <w:rFonts w:ascii="Times New Roman" w:hAnsi="Times New Roman"/>
                <w:sz w:val="20"/>
                <w:szCs w:val="20"/>
              </w:rPr>
              <w:t>силоновые</w:t>
            </w:r>
            <w:proofErr w:type="spellEnd"/>
            <w:r w:rsidRPr="004A4C2C">
              <w:rPr>
                <w:rFonts w:ascii="Times New Roman" w:hAnsi="Times New Roman"/>
                <w:sz w:val="20"/>
                <w:szCs w:val="20"/>
              </w:rPr>
              <w:t xml:space="preserve">, допускается покрытие защитное плёночное. Приёмная гильза индивидуальная (две пробные гильзы). Материал индивидуальной постоянной гильзы: литьевой слоистый пластик на основе акриловых смол, листовой термопластичный пластик. Крепление протеза поясное или с использованием бандажа. В качестве вкладного элемента применяются чехлы полимерные </w:t>
            </w:r>
            <w:proofErr w:type="spellStart"/>
            <w:r w:rsidRPr="004A4C2C">
              <w:rPr>
                <w:rFonts w:ascii="Times New Roman" w:hAnsi="Times New Roman"/>
                <w:sz w:val="20"/>
                <w:szCs w:val="20"/>
              </w:rPr>
              <w:t>гелевые</w:t>
            </w:r>
            <w:proofErr w:type="spellEnd"/>
            <w:r w:rsidRPr="004A4C2C">
              <w:rPr>
                <w:rFonts w:ascii="Times New Roman" w:hAnsi="Times New Roman"/>
                <w:sz w:val="20"/>
                <w:szCs w:val="20"/>
              </w:rPr>
              <w:t xml:space="preserve">, с использованием замка или вакуумной мембраны. Регулировочно-соединительные устройства должны соответствовать весу пострадавшего. Стопа подвижная во всех вертикальных плоскостях, карбоновая. Коленный шарнир одноосный с управляемым гидравлическим механизмом торможения, с независимым гидравлическим регулированием </w:t>
            </w:r>
            <w:r w:rsidRPr="004A4C2C">
              <w:rPr>
                <w:rFonts w:ascii="Times New Roman" w:hAnsi="Times New Roman"/>
                <w:sz w:val="20"/>
                <w:szCs w:val="20"/>
              </w:rPr>
              <w:lastRenderedPageBreak/>
              <w:t>фаз сгибания-разгибания. Тип протеза: любой, по назначению.</w:t>
            </w:r>
          </w:p>
        </w:tc>
        <w:tc>
          <w:tcPr>
            <w:tcW w:w="9072" w:type="dxa"/>
            <w:vMerge w:val="restart"/>
            <w:tcBorders>
              <w:left w:val="single" w:sz="1" w:space="0" w:color="000000"/>
              <w:right w:val="single" w:sz="1" w:space="0" w:color="000000"/>
            </w:tcBorders>
          </w:tcPr>
          <w:p w:rsidR="00E269A7" w:rsidRPr="00E269A7" w:rsidRDefault="00E269A7" w:rsidP="00E269A7">
            <w:pPr>
              <w:shd w:val="clear" w:color="auto" w:fill="FFFFFF"/>
              <w:autoSpaceDE w:val="0"/>
              <w:spacing w:after="0" w:line="240" w:lineRule="auto"/>
              <w:ind w:right="131"/>
              <w:jc w:val="center"/>
              <w:rPr>
                <w:rFonts w:ascii="Times New Roman" w:eastAsia="Arial" w:hAnsi="Times New Roman" w:cs="Times New Roman"/>
                <w:b/>
                <w:sz w:val="20"/>
                <w:szCs w:val="20"/>
              </w:rPr>
            </w:pPr>
            <w:r w:rsidRPr="00E269A7">
              <w:rPr>
                <w:rFonts w:ascii="Times New Roman" w:eastAsia="Arial" w:hAnsi="Times New Roman" w:cs="Times New Roman"/>
                <w:b/>
                <w:sz w:val="20"/>
                <w:szCs w:val="20"/>
              </w:rPr>
              <w:lastRenderedPageBreak/>
              <w:t>Требования к техническим и функциональным характеристикам работ</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В соответствии с п. 1 раздела 2 ГОСТ Р 51819-2022 выполняемые работы по обеспечению пострадавших от несчастных случаев на производстве и профессиональных заболеваний протезами нижних конечностей должны содержать комплекс медицинских, технических и социальных мероприятий, проводимых с пострадавшими от несчастных случаев на производстве и профессиональных заболеваний, имеющими нарушения и (или) дефекты опорно-двигательного аппарата, в целях восстановления или компенсации ограничений их жизнедеятельности. В соответствии п. 39 раздела 2 ГОСТ Р 51819-2022 приемная гильза протеза конечности должна изготавливаться по индивидуальному параметру инвалида и предназначаться для размещения в нем культи, обеспечивая взаимодействие человека с протезом конечности.</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xml:space="preserve"> В соответствии п. 21 раздела 2 ГОСТ Р 51819-2022 функциональный узел протеза конечности должен выполнять заданную функцию и иметь конструктивно-технологическую завершенность.</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xml:space="preserve">В соответствии с п.5.2.1 ГОСТ Р 53870-2021 работы должны включать в себя: </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оформление карты протезирования, заказа;</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изготовление изделия для примерки;</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примерку приемной гильзы;</w:t>
            </w:r>
            <w:bookmarkStart w:id="0" w:name="_GoBack"/>
            <w:bookmarkEnd w:id="0"/>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предварительную сборку протеза;</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примерку, установку, подгонку узлов, креплений;</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окончательную сборку и отделку протеза;</w:t>
            </w:r>
          </w:p>
          <w:p w:rsidR="00E269A7" w:rsidRPr="00E269A7" w:rsidRDefault="00E269A7" w:rsidP="00E269A7">
            <w:pPr>
              <w:shd w:val="clear" w:color="auto" w:fill="FFFFFF"/>
              <w:autoSpaceDE w:val="0"/>
              <w:spacing w:after="0" w:line="240" w:lineRule="auto"/>
              <w:ind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xml:space="preserve">- обучение пользованию протезом, уходу за изделием и культей (недоразвитой конечностью) и выдачу готового изделия. </w:t>
            </w:r>
          </w:p>
          <w:p w:rsidR="00E269A7" w:rsidRPr="00E269A7" w:rsidRDefault="00E269A7" w:rsidP="00E269A7">
            <w:pPr>
              <w:shd w:val="clear" w:color="auto" w:fill="FFFFFF"/>
              <w:autoSpaceDE w:val="0"/>
              <w:spacing w:after="0" w:line="240" w:lineRule="auto"/>
              <w:ind w:left="131" w:right="131"/>
              <w:jc w:val="center"/>
              <w:rPr>
                <w:rFonts w:ascii="Times New Roman" w:eastAsia="Arial" w:hAnsi="Times New Roman" w:cs="Times New Roman"/>
                <w:b/>
                <w:sz w:val="20"/>
                <w:szCs w:val="20"/>
              </w:rPr>
            </w:pPr>
            <w:r w:rsidRPr="00E269A7">
              <w:rPr>
                <w:rFonts w:ascii="Times New Roman" w:eastAsia="Arial" w:hAnsi="Times New Roman" w:cs="Times New Roman"/>
                <w:b/>
                <w:sz w:val="20"/>
                <w:szCs w:val="20"/>
              </w:rPr>
              <w:t>Требования к материалам</w:t>
            </w:r>
          </w:p>
          <w:p w:rsidR="00E269A7" w:rsidRPr="00E269A7" w:rsidRDefault="00E269A7" w:rsidP="00E269A7">
            <w:pPr>
              <w:shd w:val="clear" w:color="auto" w:fill="FFFFFF"/>
              <w:autoSpaceDE w:val="0"/>
              <w:spacing w:after="0" w:line="240" w:lineRule="auto"/>
              <w:ind w:left="131"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xml:space="preserve">В соответствии с разделом 9 ГОСТ Р 53869-2021 «Протезы нижних конечностей. Технические требования»: </w:t>
            </w:r>
          </w:p>
          <w:p w:rsidR="00E269A7" w:rsidRPr="00E269A7" w:rsidRDefault="00E269A7" w:rsidP="00E269A7">
            <w:pPr>
              <w:shd w:val="clear" w:color="auto" w:fill="FFFFFF"/>
              <w:autoSpaceDE w:val="0"/>
              <w:spacing w:after="0" w:line="240" w:lineRule="auto"/>
              <w:ind w:left="131"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Материалы, применяемые при изготовлении протеза, должны соответствовать требованиям ГОСТ Р ИСО 22523, пункт 5.1.</w:t>
            </w:r>
          </w:p>
          <w:p w:rsidR="00E269A7" w:rsidRPr="00E269A7" w:rsidRDefault="00E269A7" w:rsidP="00E269A7">
            <w:pPr>
              <w:shd w:val="clear" w:color="auto" w:fill="FFFFFF"/>
              <w:autoSpaceDE w:val="0"/>
              <w:spacing w:after="0" w:line="240" w:lineRule="auto"/>
              <w:ind w:left="131"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Р 52770, ГОСТ ISO 10993-1, ГОСТ ISO 10993-5, ГОСТ ISO 10993-10, ГОСТ ISO 10993-12 в части предъявляемых требований и характеристик.</w:t>
            </w:r>
          </w:p>
          <w:p w:rsidR="00E269A7" w:rsidRPr="00E269A7" w:rsidRDefault="00E269A7" w:rsidP="00E269A7">
            <w:pPr>
              <w:shd w:val="clear" w:color="auto" w:fill="FFFFFF"/>
              <w:autoSpaceDE w:val="0"/>
              <w:spacing w:after="0" w:line="240" w:lineRule="auto"/>
              <w:ind w:left="131" w:right="131"/>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Термопластичные материалы приемных гильз протеза должны обеспечивать термическую и механическую подгонку (</w:t>
            </w:r>
            <w:proofErr w:type="spellStart"/>
            <w:r w:rsidRPr="00E269A7">
              <w:rPr>
                <w:rFonts w:ascii="Times New Roman" w:eastAsia="Arial" w:hAnsi="Times New Roman" w:cs="Times New Roman"/>
                <w:sz w:val="20"/>
                <w:szCs w:val="20"/>
              </w:rPr>
              <w:t>подформовку</w:t>
            </w:r>
            <w:proofErr w:type="spellEnd"/>
            <w:r w:rsidRPr="00E269A7">
              <w:rPr>
                <w:rFonts w:ascii="Times New Roman" w:eastAsia="Arial" w:hAnsi="Times New Roman" w:cs="Times New Roman"/>
                <w:sz w:val="20"/>
                <w:szCs w:val="20"/>
              </w:rPr>
              <w:t>).</w:t>
            </w:r>
          </w:p>
          <w:p w:rsidR="00E269A7" w:rsidRPr="00E269A7" w:rsidRDefault="00E269A7" w:rsidP="00E269A7">
            <w:pPr>
              <w:shd w:val="clear" w:color="auto" w:fill="FFFFFF"/>
              <w:autoSpaceDE w:val="0"/>
              <w:spacing w:after="0" w:line="240" w:lineRule="auto"/>
              <w:ind w:right="131" w:firstLine="131"/>
              <w:jc w:val="both"/>
              <w:rPr>
                <w:rFonts w:ascii="Times New Roman" w:eastAsia="Arial" w:hAnsi="Times New Roman" w:cs="Times New Roman"/>
                <w:color w:val="000000"/>
                <w:sz w:val="20"/>
                <w:szCs w:val="20"/>
              </w:rPr>
            </w:pPr>
            <w:r w:rsidRPr="00E269A7">
              <w:rPr>
                <w:rFonts w:ascii="Times New Roman" w:eastAsia="Arial" w:hAnsi="Times New Roman" w:cs="Times New Roman"/>
                <w:sz w:val="20"/>
                <w:szCs w:val="20"/>
              </w:rPr>
              <w:t xml:space="preserve">- Материалы приемных гильз должны обеспечивать установку заклепочных </w:t>
            </w:r>
            <w:r w:rsidRPr="00E269A7">
              <w:rPr>
                <w:rFonts w:ascii="Times New Roman" w:eastAsia="Arial" w:hAnsi="Times New Roman" w:cs="Times New Roman"/>
                <w:color w:val="000000"/>
                <w:sz w:val="20"/>
                <w:szCs w:val="20"/>
              </w:rPr>
              <w:t xml:space="preserve">соединений без </w:t>
            </w:r>
            <w:r w:rsidRPr="00E269A7">
              <w:rPr>
                <w:rFonts w:ascii="Times New Roman" w:eastAsia="Arial" w:hAnsi="Times New Roman" w:cs="Times New Roman"/>
                <w:color w:val="000000"/>
                <w:sz w:val="20"/>
                <w:szCs w:val="20"/>
              </w:rPr>
              <w:lastRenderedPageBreak/>
              <w:t>образования растрескиваний и разрывов.</w:t>
            </w:r>
          </w:p>
          <w:p w:rsidR="00E269A7" w:rsidRPr="00E269A7" w:rsidRDefault="00E269A7" w:rsidP="00E269A7">
            <w:pPr>
              <w:shd w:val="clear" w:color="auto" w:fill="FFFFFF"/>
              <w:autoSpaceDE w:val="0"/>
              <w:spacing w:after="0" w:line="240" w:lineRule="auto"/>
              <w:ind w:left="131" w:right="131"/>
              <w:jc w:val="both"/>
              <w:rPr>
                <w:rFonts w:ascii="Times New Roman" w:eastAsia="Arial" w:hAnsi="Times New Roman" w:cs="Times New Roman"/>
                <w:color w:val="000000"/>
                <w:sz w:val="20"/>
                <w:szCs w:val="20"/>
              </w:rPr>
            </w:pPr>
            <w:r w:rsidRPr="00E269A7">
              <w:rPr>
                <w:rFonts w:ascii="Times New Roman" w:eastAsia="Arial" w:hAnsi="Times New Roman" w:cs="Times New Roman"/>
                <w:color w:val="000000"/>
                <w:sz w:val="20"/>
                <w:szCs w:val="20"/>
              </w:rPr>
              <w:t>- Материалы приемных гильз не должны деформироваться в процессе эксплуатации протеза.</w:t>
            </w:r>
          </w:p>
          <w:p w:rsidR="00E269A7" w:rsidRPr="00E269A7" w:rsidRDefault="00E269A7" w:rsidP="00E269A7">
            <w:pPr>
              <w:shd w:val="clear" w:color="auto" w:fill="FFFFFF"/>
              <w:autoSpaceDE w:val="0"/>
              <w:spacing w:after="0" w:line="240" w:lineRule="auto"/>
              <w:ind w:right="130" w:firstLine="709"/>
              <w:jc w:val="center"/>
              <w:rPr>
                <w:rFonts w:ascii="Times New Roman" w:eastAsia="Arial" w:hAnsi="Times New Roman" w:cs="Times New Roman"/>
                <w:b/>
                <w:sz w:val="20"/>
                <w:szCs w:val="20"/>
              </w:rPr>
            </w:pPr>
            <w:r w:rsidRPr="00E269A7">
              <w:rPr>
                <w:rFonts w:ascii="Times New Roman" w:eastAsia="Arial" w:hAnsi="Times New Roman" w:cs="Times New Roman"/>
                <w:b/>
                <w:sz w:val="20"/>
                <w:szCs w:val="20"/>
              </w:rPr>
              <w:t>Требования к результатам работ</w:t>
            </w:r>
          </w:p>
          <w:p w:rsidR="00E269A7" w:rsidRPr="00E269A7" w:rsidRDefault="00E269A7" w:rsidP="00E269A7">
            <w:pPr>
              <w:shd w:val="clear" w:color="auto" w:fill="FFFFFF"/>
              <w:autoSpaceDE w:val="0"/>
              <w:spacing w:after="0" w:line="240" w:lineRule="auto"/>
              <w:ind w:right="130" w:firstLine="283"/>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Работы по обеспечению пострадавших от несчастных случаев на производстве и профессиональных заболеваний протезами нижних конечностей следует считать эффективно исполненными, если у пострадавшего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пострадавших от несчастных случаев на производстве и профессиональных заболеваний протезами нижних конечностей должны быть выполнены с надлежащим качеством и в установленные сроки.</w:t>
            </w:r>
          </w:p>
          <w:p w:rsidR="00E269A7" w:rsidRPr="00E269A7" w:rsidRDefault="00E269A7" w:rsidP="00E269A7">
            <w:pPr>
              <w:shd w:val="clear" w:color="auto" w:fill="FFFFFF"/>
              <w:autoSpaceDE w:val="0"/>
              <w:spacing w:after="0" w:line="240" w:lineRule="auto"/>
              <w:ind w:right="130" w:firstLine="709"/>
              <w:jc w:val="center"/>
              <w:rPr>
                <w:rFonts w:ascii="Times New Roman" w:eastAsia="Arial" w:hAnsi="Times New Roman" w:cs="Times New Roman"/>
                <w:b/>
                <w:sz w:val="20"/>
                <w:szCs w:val="20"/>
              </w:rPr>
            </w:pPr>
            <w:r w:rsidRPr="00E269A7">
              <w:rPr>
                <w:rFonts w:ascii="Times New Roman" w:eastAsia="Arial" w:hAnsi="Times New Roman" w:cs="Times New Roman"/>
                <w:b/>
                <w:sz w:val="20"/>
                <w:szCs w:val="20"/>
              </w:rPr>
              <w:t>Требования к срокам и (или) объему предоставления гарантии качества работ</w:t>
            </w:r>
          </w:p>
          <w:p w:rsidR="00E269A7" w:rsidRPr="00E269A7" w:rsidRDefault="00E269A7" w:rsidP="00E269A7">
            <w:pPr>
              <w:shd w:val="clear" w:color="auto" w:fill="FFFFFF"/>
              <w:autoSpaceDE w:val="0"/>
              <w:spacing w:after="0" w:line="240" w:lineRule="auto"/>
              <w:ind w:right="130" w:firstLine="187"/>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Гарантийный срок на протезы устанавливается со дня выдачи готового изделия в эксплуатацию и должен составлять не менее 7 месяцев. В течение этого срока Исполнитель производит замену или ремонт изделия бесплатно.</w:t>
            </w:r>
          </w:p>
          <w:p w:rsidR="00E269A7" w:rsidRPr="00E269A7" w:rsidRDefault="00E269A7" w:rsidP="00E269A7">
            <w:pPr>
              <w:shd w:val="clear" w:color="auto" w:fill="FFFFFF"/>
              <w:autoSpaceDE w:val="0"/>
              <w:spacing w:after="0" w:line="240" w:lineRule="auto"/>
              <w:ind w:right="131" w:firstLine="709"/>
              <w:jc w:val="both"/>
              <w:rPr>
                <w:rFonts w:ascii="Times New Roman" w:eastAsia="Arial" w:hAnsi="Times New Roman" w:cs="Times New Roman"/>
                <w:b/>
                <w:sz w:val="20"/>
                <w:szCs w:val="20"/>
              </w:rPr>
            </w:pPr>
            <w:r w:rsidRPr="00E269A7">
              <w:rPr>
                <w:rFonts w:ascii="Times New Roman" w:eastAsia="Arial" w:hAnsi="Times New Roman" w:cs="Times New Roman"/>
                <w:b/>
                <w:sz w:val="20"/>
                <w:szCs w:val="20"/>
              </w:rPr>
              <w:t>Требования к месту, условиям и срокам (периодам) выполнения работ</w:t>
            </w:r>
          </w:p>
          <w:p w:rsidR="00E269A7" w:rsidRPr="00E269A7" w:rsidRDefault="00E269A7" w:rsidP="00E269A7">
            <w:pPr>
              <w:autoSpaceDE w:val="0"/>
              <w:spacing w:after="0" w:line="240" w:lineRule="auto"/>
              <w:ind w:firstLine="709"/>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xml:space="preserve">Выполнение работ по обеспечению пострадавших от несчастных случаев на производстве и профессиональных заболеваний протезами нижних конечностей производится до 15 декабря 2024 года. </w:t>
            </w:r>
          </w:p>
          <w:p w:rsidR="00E269A7" w:rsidRPr="00E269A7" w:rsidRDefault="00E269A7" w:rsidP="00E269A7">
            <w:pPr>
              <w:autoSpaceDE w:val="0"/>
              <w:spacing w:after="0" w:line="240" w:lineRule="auto"/>
              <w:ind w:firstLine="709"/>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 xml:space="preserve">Срок выполнения Работ со дня получения списков или обращения пострадавшего к Исполнителю по направлению Заказчика – не более 30 дней. </w:t>
            </w:r>
          </w:p>
          <w:p w:rsidR="00E269A7" w:rsidRPr="00E269A7" w:rsidRDefault="00E269A7" w:rsidP="00E269A7">
            <w:pPr>
              <w:autoSpaceDE w:val="0"/>
              <w:spacing w:after="0" w:line="240" w:lineRule="auto"/>
              <w:ind w:firstLine="709"/>
              <w:jc w:val="both"/>
              <w:rPr>
                <w:rFonts w:ascii="Times New Roman" w:eastAsia="Arial" w:hAnsi="Times New Roman" w:cs="Times New Roman"/>
                <w:sz w:val="20"/>
                <w:szCs w:val="20"/>
              </w:rPr>
            </w:pPr>
            <w:r w:rsidRPr="00E269A7">
              <w:rPr>
                <w:rFonts w:ascii="Times New Roman" w:eastAsia="Arial" w:hAnsi="Times New Roman" w:cs="Times New Roman"/>
                <w:sz w:val="20"/>
                <w:szCs w:val="20"/>
              </w:rPr>
              <w:t>Место выполнения работ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p>
          <w:p w:rsidR="00E269A7" w:rsidRPr="00E269A7" w:rsidRDefault="00E269A7" w:rsidP="00E269A7">
            <w:pPr>
              <w:autoSpaceDE w:val="0"/>
              <w:spacing w:after="0" w:line="240" w:lineRule="auto"/>
              <w:ind w:firstLine="709"/>
              <w:jc w:val="both"/>
              <w:rPr>
                <w:rFonts w:ascii="Times New Roman" w:eastAsia="Andale Sans UI" w:hAnsi="Times New Roman" w:cs="Times New Roman"/>
                <w:b/>
                <w:kern w:val="1"/>
                <w:sz w:val="20"/>
                <w:szCs w:val="20"/>
                <w:lang w:eastAsia="fa-IR" w:bidi="fa-IR"/>
              </w:rPr>
            </w:pPr>
            <w:r w:rsidRPr="00E269A7">
              <w:rPr>
                <w:rFonts w:ascii="Times New Roman" w:eastAsia="Arial" w:hAnsi="Times New Roman" w:cs="Times New Roman"/>
                <w:sz w:val="20"/>
                <w:szCs w:val="20"/>
              </w:rPr>
              <w:t>Изготовление по индивидуальным слепкам. Доставка готового изделия при необходимости по месту жительства пострадавшего.</w:t>
            </w:r>
            <w:r w:rsidRPr="00E269A7">
              <w:rPr>
                <w:rFonts w:ascii="Times New Roman" w:eastAsia="Andale Sans UI" w:hAnsi="Times New Roman" w:cs="Times New Roman"/>
                <w:b/>
                <w:kern w:val="1"/>
                <w:sz w:val="20"/>
                <w:szCs w:val="20"/>
                <w:lang w:eastAsia="fa-IR" w:bidi="fa-IR"/>
              </w:rPr>
              <w:t xml:space="preserve"> </w:t>
            </w:r>
          </w:p>
          <w:p w:rsidR="00E269A7" w:rsidRPr="00E269A7" w:rsidRDefault="00E269A7" w:rsidP="00E269A7">
            <w:pPr>
              <w:spacing w:after="0" w:line="240" w:lineRule="auto"/>
              <w:jc w:val="center"/>
              <w:rPr>
                <w:rFonts w:ascii="Times New Roman" w:eastAsia="Andale Sans UI" w:hAnsi="Times New Roman" w:cs="Times New Roman"/>
                <w:b/>
                <w:kern w:val="1"/>
                <w:sz w:val="20"/>
                <w:szCs w:val="20"/>
                <w:lang w:eastAsia="fa-IR" w:bidi="fa-IR"/>
              </w:rPr>
            </w:pPr>
            <w:r w:rsidRPr="00E269A7">
              <w:rPr>
                <w:rFonts w:ascii="Times New Roman" w:eastAsia="Andale Sans UI" w:hAnsi="Times New Roman" w:cs="Times New Roman"/>
                <w:b/>
                <w:kern w:val="1"/>
                <w:sz w:val="20"/>
                <w:szCs w:val="20"/>
                <w:lang w:eastAsia="fa-IR" w:bidi="fa-IR"/>
              </w:rPr>
              <w:t>Требования к пункту выдачи Товара.</w:t>
            </w:r>
          </w:p>
          <w:p w:rsidR="00E269A7" w:rsidRPr="00E269A7" w:rsidRDefault="00E269A7" w:rsidP="00E269A7">
            <w:pPr>
              <w:spacing w:after="0" w:line="240" w:lineRule="auto"/>
              <w:ind w:firstLine="567"/>
              <w:jc w:val="both"/>
              <w:rPr>
                <w:rFonts w:ascii="Times New Roman" w:eastAsia="Andale Sans UI" w:hAnsi="Times New Roman" w:cs="Times New Roman"/>
                <w:kern w:val="1"/>
                <w:sz w:val="20"/>
                <w:szCs w:val="20"/>
                <w:lang w:eastAsia="fa-IR" w:bidi="fa-IR"/>
              </w:rPr>
            </w:pPr>
            <w:r w:rsidRPr="00E269A7">
              <w:rPr>
                <w:rFonts w:ascii="Times New Roman" w:eastAsia="Andale Sans UI" w:hAnsi="Times New Roman" w:cs="Times New Roman"/>
                <w:kern w:val="1"/>
                <w:sz w:val="20"/>
                <w:szCs w:val="20"/>
                <w:lang w:eastAsia="fa-IR" w:bidi="fa-IR"/>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E269A7" w:rsidRPr="00E269A7" w:rsidRDefault="00E269A7" w:rsidP="00E269A7">
            <w:pPr>
              <w:spacing w:after="0" w:line="240" w:lineRule="auto"/>
              <w:ind w:firstLine="567"/>
              <w:jc w:val="both"/>
              <w:rPr>
                <w:rFonts w:ascii="Times New Roman" w:eastAsia="Andale Sans UI" w:hAnsi="Times New Roman" w:cs="Times New Roman"/>
                <w:kern w:val="1"/>
                <w:sz w:val="20"/>
                <w:szCs w:val="20"/>
                <w:lang w:eastAsia="fa-IR" w:bidi="fa-IR"/>
              </w:rPr>
            </w:pPr>
            <w:r w:rsidRPr="00E269A7">
              <w:rPr>
                <w:rFonts w:ascii="Times New Roman" w:eastAsia="Andale Sans UI" w:hAnsi="Times New Roman" w:cs="Times New Roman"/>
                <w:kern w:val="1"/>
                <w:sz w:val="20"/>
                <w:szCs w:val="20"/>
                <w:lang w:eastAsia="fa-IR" w:bidi="fa-IR"/>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E269A7" w:rsidRPr="00E269A7" w:rsidRDefault="00E269A7" w:rsidP="00E269A7">
            <w:pPr>
              <w:spacing w:after="0" w:line="240" w:lineRule="auto"/>
              <w:ind w:firstLine="567"/>
              <w:jc w:val="both"/>
              <w:rPr>
                <w:rFonts w:ascii="Times New Roman" w:eastAsia="Andale Sans UI" w:hAnsi="Times New Roman" w:cs="Times New Roman"/>
                <w:kern w:val="1"/>
                <w:sz w:val="20"/>
                <w:szCs w:val="20"/>
                <w:lang w:eastAsia="fa-IR" w:bidi="fa-IR"/>
              </w:rPr>
            </w:pPr>
            <w:r w:rsidRPr="00E269A7">
              <w:rPr>
                <w:rFonts w:ascii="Times New Roman" w:eastAsia="Andale Sans UI" w:hAnsi="Times New Roman" w:cs="Times New Roman"/>
                <w:kern w:val="1"/>
                <w:sz w:val="20"/>
                <w:szCs w:val="20"/>
                <w:lang w:eastAsia="fa-IR" w:bidi="fa-IR"/>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E269A7" w:rsidRPr="00E269A7" w:rsidRDefault="00E269A7" w:rsidP="00E269A7">
            <w:pPr>
              <w:spacing w:after="0" w:line="240" w:lineRule="auto"/>
              <w:ind w:firstLine="567"/>
              <w:jc w:val="both"/>
              <w:rPr>
                <w:rFonts w:ascii="Times New Roman" w:eastAsia="Andale Sans UI" w:hAnsi="Times New Roman" w:cs="Times New Roman"/>
                <w:kern w:val="1"/>
                <w:sz w:val="20"/>
                <w:szCs w:val="20"/>
                <w:lang w:eastAsia="fa-IR" w:bidi="fa-IR"/>
              </w:rPr>
            </w:pPr>
            <w:r w:rsidRPr="00E269A7">
              <w:rPr>
                <w:rFonts w:ascii="Times New Roman" w:eastAsia="Andale Sans UI" w:hAnsi="Times New Roman" w:cs="Times New Roman"/>
                <w:kern w:val="1"/>
                <w:sz w:val="20"/>
                <w:szCs w:val="20"/>
                <w:lang w:eastAsia="fa-IR" w:bidi="fa-IR"/>
              </w:rPr>
              <w:t xml:space="preserve">Пункт выдачи должен быть оборудован камерами </w:t>
            </w:r>
            <w:proofErr w:type="spellStart"/>
            <w:r w:rsidRPr="00E269A7">
              <w:rPr>
                <w:rFonts w:ascii="Times New Roman" w:eastAsia="Andale Sans UI" w:hAnsi="Times New Roman" w:cs="Times New Roman"/>
                <w:kern w:val="1"/>
                <w:sz w:val="20"/>
                <w:szCs w:val="20"/>
                <w:lang w:eastAsia="fa-IR" w:bidi="fa-IR"/>
              </w:rPr>
              <w:t>видеофиксации</w:t>
            </w:r>
            <w:proofErr w:type="spellEnd"/>
            <w:r w:rsidRPr="00E269A7">
              <w:rPr>
                <w:rFonts w:ascii="Times New Roman" w:eastAsia="Andale Sans UI" w:hAnsi="Times New Roman" w:cs="Times New Roman"/>
                <w:kern w:val="1"/>
                <w:sz w:val="20"/>
                <w:szCs w:val="20"/>
                <w:lang w:eastAsia="fa-IR" w:bidi="fa-IR"/>
              </w:rPr>
              <w:t>, которые будут вести видеозапись приема-передачи товара Получателям, а также телефонными аппаратами для консультации Получателей ТСР.</w:t>
            </w:r>
          </w:p>
          <w:p w:rsidR="00E269A7" w:rsidRPr="00E269A7" w:rsidRDefault="00E269A7" w:rsidP="00E269A7">
            <w:pPr>
              <w:spacing w:after="0" w:line="240" w:lineRule="auto"/>
              <w:ind w:firstLine="567"/>
              <w:jc w:val="both"/>
              <w:rPr>
                <w:rFonts w:ascii="Times New Roman" w:eastAsia="Andale Sans UI" w:hAnsi="Times New Roman" w:cs="Times New Roman"/>
                <w:kern w:val="1"/>
                <w:sz w:val="20"/>
                <w:szCs w:val="20"/>
                <w:lang w:eastAsia="fa-IR" w:bidi="fa-IR"/>
              </w:rPr>
            </w:pPr>
            <w:r w:rsidRPr="00E269A7">
              <w:rPr>
                <w:rFonts w:ascii="Times New Roman" w:eastAsia="Andale Sans UI" w:hAnsi="Times New Roman" w:cs="Times New Roman"/>
                <w:kern w:val="1"/>
                <w:sz w:val="20"/>
                <w:szCs w:val="20"/>
                <w:lang w:eastAsia="fa-IR" w:bidi="fa-IR"/>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E269A7" w:rsidRPr="00E269A7" w:rsidRDefault="00E269A7" w:rsidP="00E269A7">
            <w:pPr>
              <w:spacing w:after="0" w:line="240" w:lineRule="auto"/>
              <w:ind w:firstLine="567"/>
              <w:jc w:val="both"/>
              <w:rPr>
                <w:rFonts w:ascii="Times New Roman" w:eastAsia="Andale Sans UI" w:hAnsi="Times New Roman" w:cs="Times New Roman"/>
                <w:kern w:val="1"/>
                <w:sz w:val="20"/>
                <w:szCs w:val="20"/>
                <w:lang w:eastAsia="fa-IR" w:bidi="fa-IR"/>
              </w:rPr>
            </w:pPr>
            <w:r w:rsidRPr="00E269A7">
              <w:rPr>
                <w:rFonts w:ascii="Times New Roman" w:eastAsia="Andale Sans UI" w:hAnsi="Times New Roman" w:cs="Times New Roman"/>
                <w:kern w:val="1"/>
                <w:sz w:val="20"/>
                <w:szCs w:val="20"/>
                <w:lang w:eastAsia="fa-IR" w:bidi="fa-IR"/>
              </w:rPr>
              <w:t xml:space="preserve">Пункт выдачи должен иметь туалетную комнату, оборудованную для посещения инвалидами, в </w:t>
            </w:r>
            <w:r w:rsidRPr="00E269A7">
              <w:rPr>
                <w:rFonts w:ascii="Times New Roman" w:eastAsia="Andale Sans UI" w:hAnsi="Times New Roman" w:cs="Times New Roman"/>
                <w:kern w:val="1"/>
                <w:sz w:val="20"/>
                <w:szCs w:val="20"/>
                <w:lang w:eastAsia="fa-IR" w:bidi="fa-IR"/>
              </w:rPr>
              <w:lastRenderedPageBreak/>
              <w:t>том числе инвалидами-колясочниками, со свободным и бесплатным доступом Получателей.</w:t>
            </w:r>
          </w:p>
          <w:p w:rsidR="00FC5202" w:rsidRDefault="00E269A7" w:rsidP="00E269A7">
            <w:pPr>
              <w:spacing w:after="0" w:line="240" w:lineRule="auto"/>
              <w:jc w:val="both"/>
              <w:rPr>
                <w:rFonts w:ascii="Times New Roman" w:hAnsi="Times New Roman" w:cs="Times New Roman"/>
                <w:sz w:val="20"/>
                <w:szCs w:val="20"/>
                <w:lang w:eastAsia="zh-CN"/>
              </w:rPr>
            </w:pPr>
            <w:r w:rsidRPr="00E269A7">
              <w:rPr>
                <w:rFonts w:ascii="Times New Roman" w:eastAsia="Andale Sans UI" w:hAnsi="Times New Roman" w:cs="Times New Roman"/>
                <w:kern w:val="1"/>
                <w:sz w:val="20"/>
                <w:szCs w:val="20"/>
                <w:lang w:eastAsia="fa-IR" w:bidi="fa-IR"/>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00FC5202" w:rsidRPr="00E269A7">
              <w:rPr>
                <w:rFonts w:ascii="Times New Roman" w:eastAsia="Andale Sans UI" w:hAnsi="Times New Roman"/>
                <w:kern w:val="1"/>
                <w:sz w:val="20"/>
                <w:szCs w:val="20"/>
                <w:lang w:eastAsia="fa-IR" w:bidi="fa-IR"/>
              </w:rPr>
              <w:t>.</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C5202" w:rsidRDefault="004A4C2C">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2</w:t>
            </w:r>
          </w:p>
        </w:tc>
      </w:tr>
      <w:tr w:rsidR="00FC5202" w:rsidTr="00BA446F">
        <w:trPr>
          <w:trHeight w:val="213"/>
        </w:trPr>
        <w:tc>
          <w:tcPr>
            <w:tcW w:w="426" w:type="dxa"/>
            <w:tcMar>
              <w:top w:w="55" w:type="dxa"/>
              <w:left w:w="55" w:type="dxa"/>
              <w:bottom w:w="55" w:type="dxa"/>
              <w:right w:w="55" w:type="dxa"/>
            </w:tcMar>
          </w:tcPr>
          <w:p w:rsidR="00FC5202" w:rsidRDefault="00FC5202">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 xml:space="preserve">2. </w:t>
            </w:r>
          </w:p>
        </w:tc>
        <w:tc>
          <w:tcPr>
            <w:tcW w:w="1475" w:type="dxa"/>
            <w:tcBorders>
              <w:right w:val="single" w:sz="4" w:space="0" w:color="auto"/>
            </w:tcBorders>
            <w:tcMar>
              <w:top w:w="55" w:type="dxa"/>
              <w:left w:w="55" w:type="dxa"/>
              <w:bottom w:w="55" w:type="dxa"/>
              <w:right w:w="55" w:type="dxa"/>
            </w:tcMar>
          </w:tcPr>
          <w:p w:rsidR="00FC5202" w:rsidRPr="00352B53" w:rsidRDefault="004A4C2C">
            <w:pPr>
              <w:tabs>
                <w:tab w:val="left" w:pos="6600"/>
              </w:tabs>
              <w:spacing w:after="0" w:line="240" w:lineRule="auto"/>
              <w:contextualSpacing/>
              <w:jc w:val="center"/>
              <w:rPr>
                <w:rFonts w:ascii="Times New Roman" w:hAnsi="Times New Roman" w:cs="Times New Roman"/>
                <w:bCs/>
                <w:iCs/>
                <w:kern w:val="1"/>
                <w:sz w:val="20"/>
                <w:szCs w:val="20"/>
                <w:lang w:eastAsia="zh-CN"/>
              </w:rPr>
            </w:pPr>
            <w:r w:rsidRPr="004A4C2C">
              <w:rPr>
                <w:rFonts w:ascii="Times New Roman" w:hAnsi="Times New Roman"/>
                <w:kern w:val="3"/>
                <w:sz w:val="20"/>
                <w:szCs w:val="20"/>
              </w:rPr>
              <w:t>Выполнение работ для обеспечения протезами бедра модульный, в том числе при врожденном недоразвитии</w:t>
            </w:r>
          </w:p>
        </w:tc>
        <w:tc>
          <w:tcPr>
            <w:tcW w:w="3119" w:type="dxa"/>
            <w:tcBorders>
              <w:left w:val="single" w:sz="4" w:space="0" w:color="auto"/>
            </w:tcBorders>
          </w:tcPr>
          <w:p w:rsidR="00FC5202" w:rsidRPr="00352B53" w:rsidRDefault="004A4C2C" w:rsidP="00FC5202">
            <w:pPr>
              <w:spacing w:after="0" w:line="240" w:lineRule="auto"/>
              <w:ind w:left="-10" w:right="131"/>
              <w:contextualSpacing/>
              <w:jc w:val="both"/>
              <w:rPr>
                <w:rFonts w:ascii="Times New Roman" w:hAnsi="Times New Roman"/>
                <w:sz w:val="20"/>
                <w:szCs w:val="20"/>
                <w:lang w:eastAsia="ru-RU"/>
              </w:rPr>
            </w:pPr>
            <w:r w:rsidRPr="004A4C2C">
              <w:rPr>
                <w:rFonts w:ascii="Times New Roman" w:hAnsi="Times New Roman"/>
                <w:sz w:val="20"/>
                <w:szCs w:val="20"/>
              </w:rPr>
              <w:t xml:space="preserve">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4A4C2C">
              <w:rPr>
                <w:rFonts w:ascii="Times New Roman" w:hAnsi="Times New Roman"/>
                <w:sz w:val="20"/>
                <w:szCs w:val="20"/>
              </w:rPr>
              <w:t>перлоновые</w:t>
            </w:r>
            <w:proofErr w:type="spellEnd"/>
            <w:r w:rsidRPr="004A4C2C">
              <w:rPr>
                <w:rFonts w:ascii="Times New Roman" w:hAnsi="Times New Roman"/>
                <w:sz w:val="20"/>
                <w:szCs w:val="20"/>
              </w:rPr>
              <w:t xml:space="preserve"> (две пары) или </w:t>
            </w:r>
            <w:proofErr w:type="spellStart"/>
            <w:r w:rsidRPr="004A4C2C">
              <w:rPr>
                <w:rFonts w:ascii="Times New Roman" w:hAnsi="Times New Roman"/>
                <w:sz w:val="20"/>
                <w:szCs w:val="20"/>
              </w:rPr>
              <w:t>силоновые</w:t>
            </w:r>
            <w:proofErr w:type="spellEnd"/>
            <w:r w:rsidRPr="004A4C2C">
              <w:rPr>
                <w:rFonts w:ascii="Times New Roman" w:hAnsi="Times New Roman"/>
                <w:sz w:val="20"/>
                <w:szCs w:val="20"/>
              </w:rPr>
              <w:t xml:space="preserve">, допускается покрытие защитное плёночное. Приёмная гильза унифицированная (без пробных гильз) или индивидуальная (две пробные гильзы). Материал унифицированной постоянной гильзы: слоистый пластик на основе акриловых смол. Материал индивидуальной постоянной гильзы: литьевой слоистый пластик на основе акриловых смол или листовой термопластичный пластик. В качестве вкладного элемента применяются чехлы полимерные </w:t>
            </w:r>
            <w:proofErr w:type="spellStart"/>
            <w:r w:rsidRPr="004A4C2C">
              <w:rPr>
                <w:rFonts w:ascii="Times New Roman" w:hAnsi="Times New Roman"/>
                <w:sz w:val="20"/>
                <w:szCs w:val="20"/>
              </w:rPr>
              <w:t>гелевые</w:t>
            </w:r>
            <w:proofErr w:type="spellEnd"/>
            <w:r w:rsidRPr="004A4C2C">
              <w:rPr>
                <w:rFonts w:ascii="Times New Roman" w:hAnsi="Times New Roman"/>
                <w:sz w:val="20"/>
                <w:szCs w:val="20"/>
              </w:rPr>
              <w:t>, с использованием замка или вакуумной мембраны. Крепление протеза поясное или с использованием бандажа. Регулировочно-соединительные устройства соответствуют весу. Стопа со средней степенью энергосбережения. Коленный модуль многоосный, с пневматическим управлением фазой переноса (двухкамерная пневматическая система с интегрированным пружинным толкателем). Тип протеза: любой, по назначению.</w:t>
            </w:r>
          </w:p>
        </w:tc>
        <w:tc>
          <w:tcPr>
            <w:tcW w:w="9072" w:type="dxa"/>
            <w:vMerge/>
            <w:tcBorders>
              <w:left w:val="single" w:sz="1" w:space="0" w:color="000000"/>
              <w:right w:val="single" w:sz="1" w:space="0" w:color="000000"/>
            </w:tcBorders>
          </w:tcPr>
          <w:p w:rsidR="00FC5202" w:rsidRPr="00352B53" w:rsidRDefault="00FC5202"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C5202" w:rsidRDefault="00904B12">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5B6A61" w:rsidTr="00904B12">
        <w:trPr>
          <w:trHeight w:val="213"/>
        </w:trPr>
        <w:tc>
          <w:tcPr>
            <w:tcW w:w="14092" w:type="dxa"/>
            <w:gridSpan w:val="4"/>
            <w:tcBorders>
              <w:right w:val="single" w:sz="1" w:space="0" w:color="000000"/>
            </w:tcBorders>
            <w:tcMar>
              <w:top w:w="55" w:type="dxa"/>
              <w:left w:w="55" w:type="dxa"/>
              <w:bottom w:w="55" w:type="dxa"/>
              <w:right w:w="55" w:type="dxa"/>
            </w:tcMar>
            <w:vAlign w:val="center"/>
          </w:tcPr>
          <w:p w:rsidR="005B6A61" w:rsidRDefault="005C45B5">
            <w:pPr>
              <w:shd w:val="clear" w:color="auto" w:fill="FFFFFF"/>
              <w:autoSpaceDE w:val="0"/>
              <w:spacing w:after="0" w:line="240" w:lineRule="auto"/>
              <w:ind w:left="131" w:right="131"/>
              <w:jc w:val="right"/>
              <w:rPr>
                <w:rFonts w:ascii="Times New Roman" w:eastAsia="Arial" w:hAnsi="Times New Roman" w:cs="Times New Roman"/>
                <w:b/>
                <w:sz w:val="20"/>
                <w:szCs w:val="20"/>
              </w:rPr>
            </w:pPr>
            <w:r>
              <w:rPr>
                <w:rFonts w:ascii="Times New Roman" w:eastAsia="Arial" w:hAnsi="Times New Roman" w:cs="Times New Roman"/>
                <w:b/>
                <w:sz w:val="20"/>
                <w:szCs w:val="20"/>
              </w:rPr>
              <w:lastRenderedPageBreak/>
              <w:t>ИТОГО:</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5B6A61" w:rsidRDefault="00FC5202">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r>
    </w:tbl>
    <w:p w:rsidR="005B6A61" w:rsidRDefault="005B6A61" w:rsidP="00995570">
      <w:pPr>
        <w:tabs>
          <w:tab w:val="left" w:pos="705"/>
        </w:tabs>
        <w:spacing w:after="0" w:line="240" w:lineRule="auto"/>
        <w:jc w:val="both"/>
        <w:rPr>
          <w:rFonts w:ascii="Times New Roman" w:eastAsia="Times New Roman" w:hAnsi="Times New Roman" w:cs="Times New Roman"/>
          <w:bCs/>
          <w:sz w:val="24"/>
          <w:lang w:eastAsia="ar-SA"/>
        </w:rPr>
      </w:pPr>
    </w:p>
    <w:p w:rsidR="005B6A61" w:rsidRDefault="005C45B5" w:rsidP="00995570">
      <w:pPr>
        <w:autoSpaceDE w:val="0"/>
        <w:adjustRightInd w:val="0"/>
        <w:spacing w:after="0" w:line="240" w:lineRule="auto"/>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B6A61" w:rsidRDefault="005C45B5">
      <w:pPr>
        <w:spacing w:after="0"/>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
    <w:p w:rsidR="005B6A61" w:rsidRDefault="005B6A61">
      <w:pPr>
        <w:tabs>
          <w:tab w:val="left" w:pos="705"/>
        </w:tabs>
        <w:jc w:val="both"/>
        <w:rPr>
          <w:rFonts w:ascii="Times New Roman" w:eastAsia="Times New Roman" w:hAnsi="Times New Roman" w:cs="Times New Roman"/>
          <w:bCs/>
          <w:sz w:val="24"/>
          <w:lang w:eastAsia="ar-SA"/>
        </w:rPr>
      </w:pPr>
    </w:p>
    <w:p w:rsidR="005B6A61" w:rsidRDefault="005B6A61">
      <w:pPr>
        <w:spacing w:after="0"/>
        <w:ind w:firstLine="851"/>
        <w:jc w:val="both"/>
        <w:rPr>
          <w:rFonts w:ascii="Times New Roman" w:eastAsia="Arial" w:hAnsi="Times New Roman" w:cs="Times New Roman"/>
          <w:color w:val="000000"/>
          <w:spacing w:val="-4"/>
          <w:sz w:val="24"/>
          <w:szCs w:val="20"/>
          <w:lang w:eastAsia="zh-CN"/>
        </w:rPr>
      </w:pPr>
    </w:p>
    <w:sectPr w:rsidR="005B6A61" w:rsidSect="00DD6220">
      <w:footerReference w:type="default" r:id="rId6"/>
      <w:pgSz w:w="16838" w:h="11905" w:orient="landscape"/>
      <w:pgMar w:top="1135" w:right="820"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61" w:rsidRDefault="005C45B5">
      <w:pPr>
        <w:spacing w:after="0" w:line="240" w:lineRule="auto"/>
      </w:pPr>
      <w:r>
        <w:separator/>
      </w:r>
    </w:p>
  </w:endnote>
  <w:endnote w:type="continuationSeparator" w:id="0">
    <w:p w:rsidR="005B6A61" w:rsidRDefault="005C4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5B6A61" w:rsidRDefault="009D6AC7">
        <w:pPr>
          <w:pStyle w:val="af"/>
          <w:jc w:val="center"/>
        </w:pPr>
        <w:r>
          <w:fldChar w:fldCharType="begin"/>
        </w:r>
        <w:r w:rsidR="005C45B5">
          <w:instrText>PAGE   \* MERGEFORMAT</w:instrText>
        </w:r>
        <w:r>
          <w:fldChar w:fldCharType="separate"/>
        </w:r>
        <w:r w:rsidR="00696499">
          <w:rPr>
            <w:noProof/>
          </w:rPr>
          <w:t>3</w:t>
        </w:r>
        <w:r>
          <w:fldChar w:fldCharType="end"/>
        </w:r>
      </w:p>
    </w:sdtContent>
  </w:sdt>
  <w:p w:rsidR="005B6A61" w:rsidRDefault="005B6A6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61" w:rsidRDefault="005C45B5">
      <w:pPr>
        <w:spacing w:after="0" w:line="240" w:lineRule="auto"/>
      </w:pPr>
      <w:r>
        <w:separator/>
      </w:r>
    </w:p>
  </w:footnote>
  <w:footnote w:type="continuationSeparator" w:id="0">
    <w:p w:rsidR="005B6A61" w:rsidRDefault="005C45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6A61"/>
    <w:rsid w:val="001166C8"/>
    <w:rsid w:val="00352B53"/>
    <w:rsid w:val="003A40F8"/>
    <w:rsid w:val="004A4C2C"/>
    <w:rsid w:val="004B5046"/>
    <w:rsid w:val="005B6A61"/>
    <w:rsid w:val="005C2A98"/>
    <w:rsid w:val="005C45B5"/>
    <w:rsid w:val="00696499"/>
    <w:rsid w:val="007D2990"/>
    <w:rsid w:val="00904B12"/>
    <w:rsid w:val="00940420"/>
    <w:rsid w:val="00995570"/>
    <w:rsid w:val="009D6AC7"/>
    <w:rsid w:val="00A12069"/>
    <w:rsid w:val="00B27897"/>
    <w:rsid w:val="00BA0F51"/>
    <w:rsid w:val="00BA446F"/>
    <w:rsid w:val="00BB2424"/>
    <w:rsid w:val="00BC4780"/>
    <w:rsid w:val="00D41C80"/>
    <w:rsid w:val="00DD6220"/>
    <w:rsid w:val="00E269A7"/>
    <w:rsid w:val="00E605CC"/>
    <w:rsid w:val="00F937F2"/>
    <w:rsid w:val="00FC5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6AC7"/>
    <w:rPr>
      <w:sz w:val="16"/>
      <w:szCs w:val="16"/>
    </w:rPr>
  </w:style>
  <w:style w:type="paragraph" w:styleId="a4">
    <w:name w:val="annotation text"/>
    <w:basedOn w:val="a"/>
    <w:link w:val="a5"/>
    <w:uiPriority w:val="99"/>
    <w:semiHidden/>
    <w:unhideWhenUsed/>
    <w:rsid w:val="009D6AC7"/>
    <w:pPr>
      <w:spacing w:line="240" w:lineRule="auto"/>
    </w:pPr>
    <w:rPr>
      <w:sz w:val="20"/>
      <w:szCs w:val="20"/>
    </w:rPr>
  </w:style>
  <w:style w:type="character" w:customStyle="1" w:styleId="a5">
    <w:name w:val="Текст примечания Знак"/>
    <w:basedOn w:val="a0"/>
    <w:link w:val="a4"/>
    <w:uiPriority w:val="99"/>
    <w:semiHidden/>
    <w:rsid w:val="009D6AC7"/>
    <w:rPr>
      <w:sz w:val="20"/>
      <w:szCs w:val="20"/>
    </w:rPr>
  </w:style>
  <w:style w:type="paragraph" w:styleId="a6">
    <w:name w:val="annotation subject"/>
    <w:basedOn w:val="a4"/>
    <w:next w:val="a4"/>
    <w:link w:val="a7"/>
    <w:uiPriority w:val="99"/>
    <w:semiHidden/>
    <w:unhideWhenUsed/>
    <w:rsid w:val="009D6AC7"/>
    <w:rPr>
      <w:b/>
      <w:bCs/>
    </w:rPr>
  </w:style>
  <w:style w:type="character" w:customStyle="1" w:styleId="a7">
    <w:name w:val="Тема примечания Знак"/>
    <w:basedOn w:val="a5"/>
    <w:link w:val="a6"/>
    <w:uiPriority w:val="99"/>
    <w:semiHidden/>
    <w:rsid w:val="009D6AC7"/>
    <w:rPr>
      <w:b/>
      <w:bCs/>
      <w:sz w:val="20"/>
      <w:szCs w:val="20"/>
    </w:rPr>
  </w:style>
  <w:style w:type="paragraph" w:styleId="a8">
    <w:name w:val="Balloon Text"/>
    <w:basedOn w:val="a"/>
    <w:link w:val="a9"/>
    <w:uiPriority w:val="99"/>
    <w:semiHidden/>
    <w:unhideWhenUsed/>
    <w:rsid w:val="009D6AC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6AC7"/>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9D6AC7"/>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9D6AC7"/>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9D6AC7"/>
    <w:rPr>
      <w:vertAlign w:val="superscript"/>
    </w:rPr>
  </w:style>
  <w:style w:type="paragraph" w:styleId="ad">
    <w:name w:val="header"/>
    <w:basedOn w:val="a"/>
    <w:link w:val="ae"/>
    <w:uiPriority w:val="99"/>
    <w:unhideWhenUsed/>
    <w:rsid w:val="009D6A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6AC7"/>
  </w:style>
  <w:style w:type="paragraph" w:styleId="af">
    <w:name w:val="footer"/>
    <w:basedOn w:val="a"/>
    <w:link w:val="af0"/>
    <w:uiPriority w:val="99"/>
    <w:unhideWhenUsed/>
    <w:rsid w:val="009D6A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6AC7"/>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9D6AC7"/>
    <w:rPr>
      <w:rFonts w:ascii="Times New Roman" w:eastAsia="Times New Roman" w:hAnsi="Times New Roman" w:cs="Times New Roman"/>
      <w:sz w:val="20"/>
      <w:szCs w:val="20"/>
      <w:lang w:eastAsia="zh-CN"/>
    </w:rPr>
  </w:style>
  <w:style w:type="character" w:customStyle="1" w:styleId="ng-binding">
    <w:name w:val="ng-binding"/>
    <w:basedOn w:val="a0"/>
    <w:rsid w:val="009D6AC7"/>
  </w:style>
  <w:style w:type="paragraph" w:styleId="3">
    <w:name w:val="Body Text 3"/>
    <w:basedOn w:val="a"/>
    <w:link w:val="30"/>
    <w:uiPriority w:val="99"/>
    <w:unhideWhenUsed/>
    <w:rsid w:val="009D6AC7"/>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9D6AC7"/>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9D6AC7"/>
    <w:pPr>
      <w:ind w:left="720"/>
      <w:contextualSpacing/>
    </w:pPr>
  </w:style>
  <w:style w:type="paragraph" w:styleId="af2">
    <w:name w:val="Body Text"/>
    <w:basedOn w:val="a"/>
    <w:link w:val="af3"/>
    <w:uiPriority w:val="99"/>
    <w:semiHidden/>
    <w:unhideWhenUsed/>
    <w:rsid w:val="009D6AC7"/>
    <w:pPr>
      <w:spacing w:after="120"/>
    </w:pPr>
  </w:style>
  <w:style w:type="character" w:customStyle="1" w:styleId="af3">
    <w:name w:val="Основной текст Знак"/>
    <w:basedOn w:val="a0"/>
    <w:link w:val="af2"/>
    <w:uiPriority w:val="99"/>
    <w:semiHidden/>
    <w:rsid w:val="009D6A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Сеськина Елена Яковлевна</cp:lastModifiedBy>
  <cp:revision>58</cp:revision>
  <dcterms:created xsi:type="dcterms:W3CDTF">2022-06-24T08:09:00Z</dcterms:created>
  <dcterms:modified xsi:type="dcterms:W3CDTF">2023-11-24T05:37:00Z</dcterms:modified>
</cp:coreProperties>
</file>