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jc w:val="right"/>
        <w:rPr>
          <w:rFonts w:cs="Times New Roman"/>
          <w:i/>
          <w:sz w:val="22"/>
          <w:szCs w:val="22"/>
          <w:lang w:eastAsia="en-US"/>
        </w:rPr>
      </w:pPr>
      <w:r>
        <w:rPr>
          <w:rFonts w:cs="Times New Roman"/>
          <w:i/>
          <w:sz w:val="22"/>
          <w:szCs w:val="22"/>
          <w:lang w:eastAsia="en-US"/>
        </w:rPr>
        <w:t>Приложение № 1</w:t>
      </w:r>
    </w:p>
    <w:p>
      <w:pPr>
        <w:suppressAutoHyphens/>
        <w:snapToGrid w:val="0"/>
        <w:ind w:right="27"/>
        <w:jc w:val="right"/>
        <w:rPr>
          <w:rFonts w:cs="Times New Roman"/>
          <w:i/>
          <w:sz w:val="22"/>
          <w:szCs w:val="22"/>
          <w:lang w:eastAsia="en-US"/>
        </w:rPr>
      </w:pPr>
      <w:r>
        <w:rPr>
          <w:rFonts w:cs="Times New Roman"/>
          <w:i/>
          <w:sz w:val="22"/>
          <w:szCs w:val="22"/>
          <w:lang w:eastAsia="en-US"/>
        </w:rPr>
        <w:t>к извещению о проведении закупки</w:t>
      </w:r>
    </w:p>
    <w:p>
      <w:pPr>
        <w:suppressAutoHyphens/>
        <w:snapToGrid w:val="0"/>
        <w:ind w:right="-853"/>
        <w:jc w:val="center"/>
        <w:rPr>
          <w:rFonts w:eastAsia="Arial Unicode MS" w:cs="Times New Roman"/>
          <w:b/>
          <w:szCs w:val="24"/>
          <w:lang w:eastAsia="ar-SA"/>
        </w:rPr>
      </w:pPr>
    </w:p>
    <w:p>
      <w:pPr>
        <w:suppressAutoHyphens/>
        <w:snapToGrid w:val="0"/>
        <w:ind w:right="-853"/>
        <w:jc w:val="right"/>
        <w:rPr>
          <w:rFonts w:eastAsia="Arial Unicode MS" w:cs="Times New Roman"/>
          <w:b/>
          <w:szCs w:val="24"/>
          <w:lang w:eastAsia="ar-SA"/>
        </w:rPr>
      </w:pPr>
    </w:p>
    <w:p>
      <w:pPr>
        <w:suppressAutoHyphens/>
        <w:snapToGrid w:val="0"/>
        <w:ind w:right="-853"/>
        <w:jc w:val="center"/>
        <w:rPr>
          <w:rFonts w:eastAsia="Arial Unicode MS" w:cs="Times New Roman"/>
          <w:b/>
          <w:szCs w:val="24"/>
          <w:lang w:eastAsia="ar-SA"/>
        </w:rPr>
      </w:pPr>
      <w:r>
        <w:rPr>
          <w:rFonts w:eastAsia="Arial Unicode MS" w:cs="Times New Roman"/>
          <w:b/>
          <w:szCs w:val="24"/>
          <w:lang w:eastAsia="ar-SA"/>
        </w:rPr>
        <w:t>Описание объекта закупки (техническое задание)</w:t>
      </w:r>
    </w:p>
    <w:p>
      <w:pPr>
        <w:widowControl w:val="0"/>
        <w:ind w:right="-24"/>
        <w:jc w:val="center"/>
        <w:rPr>
          <w:rFonts w:eastAsia="Calibri" w:cs="Times New Roman"/>
          <w:b/>
          <w:szCs w:val="24"/>
        </w:rPr>
      </w:pPr>
      <w:r>
        <w:rPr>
          <w:rFonts w:eastAsia="Calibri" w:cs="Times New Roman"/>
          <w:b/>
          <w:szCs w:val="24"/>
        </w:rPr>
        <w:t xml:space="preserve">на выполнение работ по изготовлению протезов нижних конечностей </w:t>
      </w:r>
      <w:r>
        <w:rPr>
          <w:rFonts w:eastAsia="Times New Roman" w:cs="Times New Roman"/>
          <w:b/>
          <w:bCs/>
          <w:szCs w:val="24"/>
        </w:rPr>
        <w:t xml:space="preserve">для социального обеспечения граждан </w:t>
      </w:r>
      <w:r>
        <w:rPr>
          <w:rFonts w:eastAsia="Calibri" w:cs="Times New Roman"/>
          <w:b/>
          <w:szCs w:val="24"/>
        </w:rPr>
        <w:t>в 2024 году</w:t>
      </w:r>
    </w:p>
    <w:p>
      <w:pPr>
        <w:widowControl w:val="0"/>
        <w:ind w:right="-24"/>
        <w:jc w:val="center"/>
        <w:rPr>
          <w:rFonts w:eastAsia="Calibri" w:cs="Times New Roman"/>
          <w:b/>
          <w:szCs w:val="24"/>
        </w:rPr>
      </w:pPr>
    </w:p>
    <w:p>
      <w:pPr>
        <w:ind w:right="-24"/>
        <w:jc w:val="both"/>
        <w:rPr>
          <w:rFonts w:eastAsia="Calibri" w:cs="Times New Roman"/>
          <w:szCs w:val="24"/>
        </w:rPr>
      </w:pPr>
      <w:r>
        <w:rPr>
          <w:rFonts w:eastAsia="Calibri" w:cs="Times New Roman"/>
          <w:b/>
          <w:szCs w:val="24"/>
        </w:rPr>
        <w:t>Срок выполнения работ:</w:t>
      </w:r>
      <w:r>
        <w:rPr>
          <w:rFonts w:eastAsia="Calibri" w:cs="Times New Roman"/>
          <w:szCs w:val="24"/>
        </w:rPr>
        <w:t xml:space="preserve"> </w:t>
      </w:r>
      <w:r>
        <w:rPr>
          <w:rFonts w:ascii="Times New Roman CYR" w:eastAsia="Times New Roman" w:hAnsi="Times New Roman CYR" w:cs="Times New Roman CYR"/>
          <w:szCs w:val="24"/>
        </w:rPr>
        <w:t>со дня, следующего за днем заключения государственного контракта</w:t>
      </w:r>
      <w:r>
        <w:rPr>
          <w:rFonts w:eastAsia="Times New Roman" w:cs="Times New Roman"/>
          <w:szCs w:val="24"/>
        </w:rPr>
        <w:t xml:space="preserve">, </w:t>
      </w:r>
      <w:r>
        <w:rPr>
          <w:rFonts w:eastAsia="Calibri" w:cs="Times New Roman"/>
          <w:szCs w:val="24"/>
        </w:rPr>
        <w:t>до «10»</w:t>
      </w:r>
      <w:r>
        <w:rPr>
          <w:rFonts w:eastAsia="Times New Roman" w:cs="Times New Roman"/>
          <w:szCs w:val="24"/>
        </w:rPr>
        <w:t xml:space="preserve"> ноября 2024 года (включительно).</w:t>
      </w:r>
    </w:p>
    <w:p>
      <w:pPr>
        <w:spacing w:before="120"/>
        <w:ind w:right="-23"/>
        <w:jc w:val="both"/>
        <w:rPr>
          <w:rFonts w:eastAsia="Times New Roman" w:cs="Times New Roman"/>
          <w:szCs w:val="24"/>
        </w:rPr>
      </w:pPr>
      <w:r>
        <w:rPr>
          <w:rFonts w:eastAsia="Calibri" w:cs="Times New Roman"/>
          <w:b/>
          <w:szCs w:val="24"/>
        </w:rPr>
        <w:t>Сроки завершения работы:</w:t>
      </w:r>
      <w:r>
        <w:rPr>
          <w:rFonts w:eastAsia="Calibri" w:cs="Times New Roman"/>
          <w:szCs w:val="24"/>
        </w:rPr>
        <w:t xml:space="preserve"> до «10»</w:t>
      </w:r>
      <w:r>
        <w:rPr>
          <w:rFonts w:eastAsia="Times New Roman" w:cs="Times New Roman"/>
          <w:szCs w:val="24"/>
        </w:rPr>
        <w:t xml:space="preserve"> ноября 2024 года (включительно).</w:t>
      </w:r>
    </w:p>
    <w:p>
      <w:pPr>
        <w:spacing w:before="120"/>
        <w:ind w:right="-23"/>
        <w:jc w:val="both"/>
        <w:rPr>
          <w:rFonts w:eastAsia="Times New Roman" w:cs="Times New Roman"/>
          <w:szCs w:val="24"/>
        </w:rPr>
      </w:pPr>
      <w:r>
        <w:rPr>
          <w:rFonts w:eastAsia="Times New Roman" w:cs="Times New Roman"/>
          <w:b/>
          <w:szCs w:val="24"/>
        </w:rPr>
        <w:t>Место выполнения работ:</w:t>
      </w:r>
      <w:r>
        <w:rPr>
          <w:rFonts w:eastAsia="Times New Roman" w:cs="Times New Roman"/>
          <w:szCs w:val="24"/>
        </w:rPr>
        <w:t xml:space="preserve"> Российская Федерация.</w:t>
      </w:r>
    </w:p>
    <w:p>
      <w:pPr>
        <w:spacing w:before="120"/>
        <w:ind w:right="-23"/>
        <w:jc w:val="both"/>
        <w:rPr>
          <w:rFonts w:eastAsia="Times New Roman" w:cs="Times New Roman"/>
          <w:szCs w:val="24"/>
        </w:rPr>
      </w:pPr>
      <w:r>
        <w:rPr>
          <w:rFonts w:eastAsia="Times New Roman" w:cs="Times New Roman"/>
          <w:b/>
          <w:szCs w:val="24"/>
        </w:rPr>
        <w:t xml:space="preserve">Место жительства (место пребывания, фактического проживания) Получателей: </w:t>
      </w:r>
      <w:r>
        <w:rPr>
          <w:rFonts w:eastAsia="Times New Roman" w:cs="Times New Roman"/>
          <w:szCs w:val="24"/>
        </w:rPr>
        <w:t>г. Санкт-Петербург и Ленинградская область.</w:t>
      </w:r>
    </w:p>
    <w:p>
      <w:pPr>
        <w:spacing w:before="120"/>
        <w:jc w:val="both"/>
        <w:rPr>
          <w:rFonts w:eastAsia="Calibri" w:cs="Times New Roman"/>
          <w:szCs w:val="24"/>
          <w:lang w:eastAsia="en-US"/>
        </w:rPr>
      </w:pPr>
      <w:r>
        <w:rPr>
          <w:rFonts w:eastAsia="Calibri" w:cs="Times New Roman"/>
          <w:szCs w:val="24"/>
          <w:lang w:eastAsia="en-US"/>
        </w:rPr>
        <w:t xml:space="preserve">1. </w:t>
      </w:r>
      <w:r>
        <w:rPr>
          <w:rFonts w:eastAsia="Times New Roman" w:cs="Times New Roman"/>
          <w:szCs w:val="24"/>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pPr>
        <w:autoSpaceDE w:val="0"/>
        <w:autoSpaceDN w:val="0"/>
        <w:adjustRightInd w:val="0"/>
        <w:jc w:val="both"/>
        <w:rPr>
          <w:rFonts w:eastAsia="Times New Roman" w:cs="Times New Roman"/>
          <w:szCs w:val="24"/>
        </w:rPr>
      </w:pPr>
      <w:r>
        <w:rPr>
          <w:rFonts w:eastAsia="Calibri" w:cs="Times New Roman"/>
          <w:szCs w:val="24"/>
          <w:lang w:eastAsia="en-US"/>
        </w:rPr>
        <w:t xml:space="preserve">2. </w:t>
      </w:r>
      <w:r>
        <w:rPr>
          <w:rFonts w:eastAsia="Times New Roman" w:cs="Times New Roman"/>
          <w:szCs w:val="24"/>
        </w:rPr>
        <w:t>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w:t>
      </w:r>
    </w:p>
    <w:p>
      <w:pPr>
        <w:numPr>
          <w:ilvl w:val="0"/>
          <w:numId w:val="4"/>
        </w:numPr>
        <w:tabs>
          <w:tab w:val="left" w:pos="284"/>
        </w:tabs>
        <w:spacing w:after="200" w:line="276" w:lineRule="auto"/>
        <w:ind w:right="-284"/>
        <w:contextualSpacing/>
        <w:rPr>
          <w:rFonts w:eastAsia="Times New Roman" w:cs="Times New Roman"/>
          <w:szCs w:val="24"/>
        </w:rPr>
      </w:pPr>
      <w:r>
        <w:rPr>
          <w:rFonts w:eastAsia="Times New Roman" w:cs="Times New Roman"/>
          <w:szCs w:val="24"/>
        </w:rPr>
        <w:t>Характеристики объекта закупки.</w:t>
      </w:r>
    </w:p>
    <w:p>
      <w:pPr>
        <w:numPr>
          <w:ilvl w:val="1"/>
          <w:numId w:val="4"/>
        </w:numPr>
        <w:tabs>
          <w:tab w:val="left" w:pos="0"/>
        </w:tabs>
        <w:spacing w:after="200" w:line="276" w:lineRule="auto"/>
        <w:ind w:right="-284"/>
        <w:contextualSpacing/>
        <w:rPr>
          <w:rFonts w:eastAsia="Times New Roman" w:cs="Times New Roman"/>
          <w:szCs w:val="24"/>
        </w:rPr>
      </w:pPr>
      <w:r>
        <w:rPr>
          <w:rFonts w:eastAsia="Times New Roman" w:cs="Times New Roman"/>
          <w:szCs w:val="24"/>
        </w:rPr>
        <w:t>Функциональные и технические характеристики объекта закупки:</w:t>
      </w:r>
    </w:p>
    <w:tbl>
      <w:tblPr>
        <w:tblW w:w="1014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701"/>
        <w:gridCol w:w="4990"/>
        <w:gridCol w:w="1559"/>
        <w:gridCol w:w="1276"/>
      </w:tblGrid>
      <w:tr>
        <w:trPr>
          <w:trHeight w:val="547"/>
        </w:trPr>
        <w:tc>
          <w:tcPr>
            <w:tcW w:w="621" w:type="dxa"/>
            <w:shd w:val="clear" w:color="auto" w:fill="auto"/>
          </w:tcPr>
          <w:p>
            <w:pPr>
              <w:spacing w:line="192" w:lineRule="auto"/>
              <w:jc w:val="center"/>
              <w:rPr>
                <w:rFonts w:eastAsia="Times New Roman" w:cs="Times New Roman"/>
                <w:szCs w:val="24"/>
              </w:rPr>
            </w:pPr>
            <w:r>
              <w:rPr>
                <w:rFonts w:eastAsia="Times New Roman" w:cs="Times New Roman"/>
                <w:szCs w:val="24"/>
              </w:rPr>
              <w:t>№</w:t>
            </w:r>
          </w:p>
          <w:p>
            <w:pPr>
              <w:spacing w:line="192" w:lineRule="auto"/>
              <w:jc w:val="center"/>
              <w:rPr>
                <w:rFonts w:eastAsia="Times New Roman" w:cs="Times New Roman"/>
                <w:szCs w:val="24"/>
              </w:rPr>
            </w:pPr>
            <w:r>
              <w:rPr>
                <w:rFonts w:eastAsia="Times New Roman" w:cs="Times New Roman"/>
                <w:szCs w:val="24"/>
              </w:rPr>
              <w:t>п/п</w:t>
            </w:r>
          </w:p>
        </w:tc>
        <w:tc>
          <w:tcPr>
            <w:tcW w:w="1701" w:type="dxa"/>
          </w:tcPr>
          <w:p>
            <w:pPr>
              <w:rPr>
                <w:rFonts w:eastAsia="Calibri" w:cs="Times New Roman"/>
                <w:szCs w:val="24"/>
              </w:rPr>
            </w:pPr>
            <w:r>
              <w:rPr>
                <w:rFonts w:eastAsia="Calibri" w:cs="Times New Roman"/>
                <w:szCs w:val="24"/>
              </w:rPr>
              <w:t xml:space="preserve">Наименование Изделия </w:t>
            </w:r>
          </w:p>
          <w:p>
            <w:pPr>
              <w:spacing w:line="192" w:lineRule="auto"/>
              <w:jc w:val="center"/>
              <w:rPr>
                <w:rFonts w:eastAsia="Times New Roman" w:cs="Times New Roman"/>
                <w:szCs w:val="24"/>
              </w:rPr>
            </w:pPr>
          </w:p>
        </w:tc>
        <w:tc>
          <w:tcPr>
            <w:tcW w:w="4990" w:type="dxa"/>
            <w:shd w:val="clear" w:color="auto" w:fill="auto"/>
          </w:tcPr>
          <w:p>
            <w:pPr>
              <w:spacing w:line="192" w:lineRule="auto"/>
              <w:jc w:val="center"/>
              <w:rPr>
                <w:rFonts w:eastAsia="Times New Roman" w:cs="Times New Roman"/>
                <w:szCs w:val="24"/>
              </w:rPr>
            </w:pPr>
            <w:r>
              <w:rPr>
                <w:rFonts w:eastAsia="Times New Roman" w:cs="Times New Roman"/>
                <w:szCs w:val="24"/>
              </w:rPr>
              <w:t>Характеристика Изделия</w:t>
            </w:r>
          </w:p>
        </w:tc>
        <w:tc>
          <w:tcPr>
            <w:tcW w:w="1559" w:type="dxa"/>
          </w:tcPr>
          <w:p>
            <w:pPr>
              <w:spacing w:line="192" w:lineRule="auto"/>
              <w:jc w:val="center"/>
              <w:rPr>
                <w:rFonts w:eastAsia="Times New Roman" w:cs="Times New Roman"/>
                <w:szCs w:val="24"/>
              </w:rPr>
            </w:pPr>
            <w:r>
              <w:rPr>
                <w:rFonts w:eastAsia="Calibri" w:cs="Times New Roman"/>
                <w:szCs w:val="24"/>
                <w:lang w:eastAsia="en-US"/>
              </w:rPr>
              <w:t>Значение характеристики</w:t>
            </w:r>
          </w:p>
        </w:tc>
        <w:tc>
          <w:tcPr>
            <w:tcW w:w="1276" w:type="dxa"/>
            <w:shd w:val="clear" w:color="auto" w:fill="auto"/>
          </w:tcPr>
          <w:p>
            <w:pPr>
              <w:spacing w:line="192" w:lineRule="auto"/>
              <w:jc w:val="center"/>
              <w:rPr>
                <w:rFonts w:eastAsia="Times New Roman" w:cs="Times New Roman"/>
                <w:szCs w:val="24"/>
              </w:rPr>
            </w:pPr>
            <w:r>
              <w:rPr>
                <w:rFonts w:eastAsia="Times New Roman" w:cs="Times New Roman"/>
                <w:szCs w:val="24"/>
              </w:rPr>
              <w:t>Объем,</w:t>
            </w:r>
          </w:p>
          <w:p>
            <w:pPr>
              <w:spacing w:line="192" w:lineRule="auto"/>
              <w:jc w:val="center"/>
              <w:rPr>
                <w:rFonts w:eastAsia="Times New Roman" w:cs="Times New Roman"/>
                <w:szCs w:val="24"/>
              </w:rPr>
            </w:pPr>
            <w:r>
              <w:rPr>
                <w:rFonts w:eastAsia="Times New Roman" w:cs="Times New Roman"/>
                <w:szCs w:val="24"/>
              </w:rPr>
              <w:t>шт.</w:t>
            </w:r>
          </w:p>
        </w:tc>
      </w:tr>
      <w:tr>
        <w:trPr>
          <w:trHeight w:val="1112"/>
        </w:trPr>
        <w:tc>
          <w:tcPr>
            <w:tcW w:w="621" w:type="dxa"/>
            <w:shd w:val="clear" w:color="auto" w:fill="auto"/>
          </w:tcPr>
          <w:p>
            <w:pPr>
              <w:jc w:val="center"/>
              <w:rPr>
                <w:rFonts w:eastAsia="Calibri" w:cs="Times New Roman"/>
                <w:szCs w:val="24"/>
              </w:rPr>
            </w:pPr>
            <w:bookmarkStart w:id="0" w:name="_GoBack" w:colFirst="3" w:colLast="3"/>
            <w:r>
              <w:rPr>
                <w:rFonts w:eastAsia="Calibri" w:cs="Times New Roman"/>
                <w:szCs w:val="24"/>
              </w:rPr>
              <w:t>1</w:t>
            </w:r>
          </w:p>
        </w:tc>
        <w:tc>
          <w:tcPr>
            <w:tcW w:w="1701" w:type="dxa"/>
          </w:tcPr>
          <w:p>
            <w:pPr>
              <w:jc w:val="both"/>
              <w:rPr>
                <w:rFonts w:eastAsia="Calibri" w:cs="Times New Roman"/>
                <w:szCs w:val="24"/>
              </w:rPr>
            </w:pPr>
            <w:r>
              <w:rPr>
                <w:rFonts w:eastAsia="Calibri" w:cs="Times New Roman"/>
                <w:szCs w:val="24"/>
              </w:rPr>
              <w:t>Протез стопы</w:t>
            </w:r>
          </w:p>
          <w:p>
            <w:pPr>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на культю стопы.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Стопа </w:t>
            </w:r>
            <w:proofErr w:type="spellStart"/>
            <w:r>
              <w:rPr>
                <w:rFonts w:eastAsia="Calibri" w:cs="Times New Roman"/>
                <w:szCs w:val="24"/>
              </w:rPr>
              <w:t>углепластиковая</w:t>
            </w:r>
            <w:proofErr w:type="spellEnd"/>
            <w:r>
              <w:rPr>
                <w:rFonts w:eastAsia="Calibri" w:cs="Times New Roman"/>
                <w:szCs w:val="24"/>
              </w:rPr>
              <w:t xml:space="preserve"> низкопрофильная со средней степенью энергосбережения. Крепление протеза с использованием ленты «контакт». Чехол на культю шерстяной, хлопчатобумажный, полиамидный, являющийся неотъемлемой частью протеза (по выбору Получателя).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Calibri" w:cs="Times New Roman"/>
                <w:szCs w:val="24"/>
              </w:rPr>
            </w:pPr>
            <w:r>
              <w:rPr>
                <w:rFonts w:eastAsia="Calibri" w:cs="Times New Roman"/>
                <w:szCs w:val="24"/>
              </w:rPr>
              <w:t>12</w:t>
            </w:r>
          </w:p>
        </w:tc>
      </w:tr>
      <w:tr>
        <w:trPr>
          <w:trHeight w:val="558"/>
        </w:trPr>
        <w:tc>
          <w:tcPr>
            <w:tcW w:w="621" w:type="dxa"/>
            <w:shd w:val="clear" w:color="auto" w:fill="auto"/>
          </w:tcPr>
          <w:p>
            <w:pPr>
              <w:jc w:val="center"/>
              <w:rPr>
                <w:rFonts w:eastAsia="Calibri" w:cs="Times New Roman"/>
                <w:szCs w:val="24"/>
              </w:rPr>
            </w:pPr>
            <w:r>
              <w:rPr>
                <w:rFonts w:eastAsia="Calibri" w:cs="Times New Roman"/>
                <w:szCs w:val="24"/>
              </w:rPr>
              <w:t>2</w:t>
            </w:r>
          </w:p>
        </w:tc>
        <w:tc>
          <w:tcPr>
            <w:tcW w:w="1701" w:type="dxa"/>
          </w:tcPr>
          <w:p>
            <w:pPr>
              <w:widowControl w:val="0"/>
              <w:tabs>
                <w:tab w:val="left" w:pos="9180"/>
              </w:tabs>
              <w:suppressAutoHyphens/>
              <w:spacing w:line="240" w:lineRule="atLeast"/>
              <w:rPr>
                <w:rFonts w:eastAsia="Calibri" w:cs="Times New Roman"/>
                <w:szCs w:val="24"/>
              </w:rPr>
            </w:pPr>
            <w:r>
              <w:rPr>
                <w:rFonts w:eastAsia="Calibri" w:cs="Times New Roman"/>
                <w:szCs w:val="24"/>
              </w:rPr>
              <w:t xml:space="preserve">Протез голени для купания </w:t>
            </w:r>
          </w:p>
          <w:p>
            <w:pPr>
              <w:widowControl w:val="0"/>
              <w:tabs>
                <w:tab w:val="left" w:pos="9180"/>
              </w:tabs>
              <w:suppressAutoHyphens/>
              <w:spacing w:line="240" w:lineRule="atLeast"/>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Регулировочно-</w:t>
            </w:r>
            <w:r>
              <w:rPr>
                <w:rFonts w:eastAsia="Calibri" w:cs="Times New Roman"/>
                <w:szCs w:val="24"/>
              </w:rPr>
              <w:lastRenderedPageBreak/>
              <w:t xml:space="preserve">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водостойкие.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вакуумное с герметизирующим коленным бандажом (по медицинским показаниям). Специальный.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Calibri" w:cs="Times New Roman"/>
                <w:szCs w:val="24"/>
              </w:rPr>
            </w:pPr>
            <w:r>
              <w:rPr>
                <w:rFonts w:eastAsia="Calibri" w:cs="Times New Roman"/>
                <w:szCs w:val="24"/>
              </w:rPr>
              <w:t>45</w:t>
            </w:r>
          </w:p>
        </w:tc>
      </w:tr>
      <w:tr>
        <w:trPr>
          <w:trHeight w:val="428"/>
        </w:trPr>
        <w:tc>
          <w:tcPr>
            <w:tcW w:w="621" w:type="dxa"/>
            <w:shd w:val="clear" w:color="auto" w:fill="auto"/>
          </w:tcPr>
          <w:p>
            <w:pPr>
              <w:jc w:val="center"/>
              <w:rPr>
                <w:rFonts w:eastAsia="Calibri" w:cs="Times New Roman"/>
                <w:szCs w:val="24"/>
              </w:rPr>
            </w:pPr>
            <w:r>
              <w:rPr>
                <w:rFonts w:eastAsia="Calibri" w:cs="Times New Roman"/>
                <w:szCs w:val="24"/>
              </w:rPr>
              <w:lastRenderedPageBreak/>
              <w:t>3</w:t>
            </w:r>
          </w:p>
        </w:tc>
        <w:tc>
          <w:tcPr>
            <w:tcW w:w="1701" w:type="dxa"/>
          </w:tcPr>
          <w:p>
            <w:pPr>
              <w:widowControl w:val="0"/>
              <w:tabs>
                <w:tab w:val="left" w:pos="9180"/>
              </w:tabs>
              <w:suppressAutoHyphens/>
              <w:spacing w:line="240" w:lineRule="atLeast"/>
              <w:rPr>
                <w:rFonts w:eastAsia="Calibri" w:cs="Times New Roman"/>
                <w:szCs w:val="24"/>
              </w:rPr>
            </w:pPr>
            <w:r>
              <w:rPr>
                <w:rFonts w:eastAsia="Calibri" w:cs="Times New Roman"/>
                <w:szCs w:val="24"/>
              </w:rPr>
              <w:t xml:space="preserve">Протез голени для купания </w:t>
            </w:r>
          </w:p>
          <w:p>
            <w:pPr>
              <w:widowControl w:val="0"/>
              <w:tabs>
                <w:tab w:val="left" w:pos="9180"/>
              </w:tabs>
              <w:suppressAutoHyphens/>
              <w:spacing w:line="240" w:lineRule="atLeast"/>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водостойкие.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Calibri" w:cs="Times New Roman"/>
                <w:szCs w:val="24"/>
              </w:rPr>
            </w:pPr>
            <w:r>
              <w:rPr>
                <w:rFonts w:eastAsia="Calibri" w:cs="Times New Roman"/>
                <w:szCs w:val="24"/>
              </w:rPr>
              <w:t>65</w:t>
            </w:r>
          </w:p>
        </w:tc>
      </w:tr>
      <w:tr>
        <w:trPr>
          <w:trHeight w:val="428"/>
        </w:trPr>
        <w:tc>
          <w:tcPr>
            <w:tcW w:w="621" w:type="dxa"/>
            <w:shd w:val="clear" w:color="auto" w:fill="auto"/>
          </w:tcPr>
          <w:p>
            <w:pPr>
              <w:jc w:val="center"/>
              <w:rPr>
                <w:rFonts w:eastAsia="Calibri" w:cs="Times New Roman"/>
                <w:szCs w:val="24"/>
              </w:rPr>
            </w:pPr>
            <w:r>
              <w:rPr>
                <w:rFonts w:eastAsia="Calibri" w:cs="Times New Roman"/>
                <w:szCs w:val="24"/>
              </w:rPr>
              <w:t>4</w:t>
            </w:r>
          </w:p>
        </w:tc>
        <w:tc>
          <w:tcPr>
            <w:tcW w:w="1701" w:type="dxa"/>
          </w:tcPr>
          <w:p>
            <w:pPr>
              <w:jc w:val="both"/>
              <w:rPr>
                <w:rFonts w:eastAsia="Calibri" w:cs="Times New Roman"/>
                <w:szCs w:val="24"/>
              </w:rPr>
            </w:pPr>
            <w:r>
              <w:rPr>
                <w:rFonts w:eastAsia="Calibri" w:cs="Times New Roman"/>
                <w:szCs w:val="24"/>
              </w:rPr>
              <w:t xml:space="preserve">Протез голени немодульный, в том числе при врожденном недоразвитии </w:t>
            </w:r>
          </w:p>
          <w:p>
            <w:pPr>
              <w:jc w:val="both"/>
              <w:rPr>
                <w:rFonts w:eastAsia="Calibri" w:cs="Times New Roman"/>
                <w:szCs w:val="24"/>
              </w:rPr>
            </w:pPr>
          </w:p>
        </w:tc>
        <w:tc>
          <w:tcPr>
            <w:tcW w:w="4990" w:type="dxa"/>
            <w:shd w:val="clear" w:color="auto" w:fill="auto"/>
            <w:vAlign w:val="center"/>
          </w:tcPr>
          <w:p>
            <w:pPr>
              <w:jc w:val="both"/>
              <w:rPr>
                <w:rFonts w:eastAsia="Calibri" w:cs="Times New Roman"/>
                <w:szCs w:val="24"/>
              </w:rPr>
            </w:pPr>
            <w:r>
              <w:rPr>
                <w:rFonts w:eastAsia="Calibri" w:cs="Times New Roman"/>
                <w:szCs w:val="24"/>
              </w:rPr>
              <w:t xml:space="preserve">Протез голени немодульный, в том числе при врожденном недоразвитии, шинно-кожаный. Приемная гильза: индивидуальная кожаная по слепку (без вкладной гильзы).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стопа шарнирная полиуретановая монолитная. Крепление протеза с использованием гильзы (манжеты с шинами) бедра, с использованием кожаных полуфабрикатов (без шин). Чехол шерстяной, хлопчатобумажный, полиамидный (по выбору получателя), являющийся неотъемлемой частью протеза – 1 шт. (по выбору Получателя).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Calibri" w:cs="Times New Roman"/>
                <w:szCs w:val="24"/>
              </w:rPr>
            </w:pPr>
            <w:r>
              <w:rPr>
                <w:rFonts w:eastAsia="Calibri" w:cs="Times New Roman"/>
                <w:szCs w:val="24"/>
              </w:rPr>
              <w:t>2</w:t>
            </w:r>
          </w:p>
        </w:tc>
      </w:tr>
      <w:tr>
        <w:trPr>
          <w:trHeight w:val="1770"/>
        </w:trPr>
        <w:tc>
          <w:tcPr>
            <w:tcW w:w="621" w:type="dxa"/>
            <w:shd w:val="clear" w:color="auto" w:fill="auto"/>
          </w:tcPr>
          <w:p>
            <w:pPr>
              <w:jc w:val="center"/>
              <w:rPr>
                <w:rFonts w:eastAsia="Calibri" w:cs="Times New Roman"/>
                <w:szCs w:val="24"/>
              </w:rPr>
            </w:pPr>
            <w:r>
              <w:rPr>
                <w:rFonts w:eastAsia="Calibri" w:cs="Times New Roman"/>
                <w:szCs w:val="24"/>
              </w:rPr>
              <w:t>5</w:t>
            </w:r>
          </w:p>
        </w:tc>
        <w:tc>
          <w:tcPr>
            <w:tcW w:w="1701" w:type="dxa"/>
          </w:tcPr>
          <w:p>
            <w:pPr>
              <w:rPr>
                <w:rFonts w:eastAsia="Calibri" w:cs="Times New Roman"/>
                <w:szCs w:val="24"/>
              </w:rPr>
            </w:pPr>
            <w:r>
              <w:rPr>
                <w:rFonts w:eastAsia="Calibri" w:cs="Times New Roman"/>
                <w:szCs w:val="24"/>
              </w:rPr>
              <w:t>Протез голени модульный, в том числе при недоразвитии</w:t>
            </w:r>
          </w:p>
          <w:p>
            <w:pPr>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w:t>
            </w:r>
            <w:r>
              <w:rPr>
                <w:rFonts w:eastAsia="Calibri" w:cs="Times New Roman"/>
                <w:szCs w:val="24"/>
              </w:rPr>
              <w:lastRenderedPageBreak/>
              <w:t xml:space="preserve">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наколенника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40</w:t>
            </w:r>
          </w:p>
        </w:tc>
      </w:tr>
      <w:tr>
        <w:trPr>
          <w:trHeight w:val="699"/>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6</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шарнирная полиуретановая с регулируемой жёсткостью пятки и сменным задним амортизатором,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стопа шарнирная полиуретановая монолитная.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42</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t>7</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w:t>
            </w:r>
            <w:r>
              <w:rPr>
                <w:rFonts w:eastAsia="Calibri" w:cs="Times New Roman"/>
                <w:szCs w:val="24"/>
              </w:rPr>
              <w:lastRenderedPageBreak/>
              <w:t xml:space="preserve">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средней степенью энергосбережения. 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60</w:t>
            </w:r>
          </w:p>
        </w:tc>
      </w:tr>
      <w:tr>
        <w:trPr>
          <w:trHeight w:val="55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8</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средней степенью энергосбережения. Крепление протеза герметизирующим коленным бандажом.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25</w:t>
            </w:r>
          </w:p>
        </w:tc>
      </w:tr>
      <w:tr>
        <w:trPr>
          <w:trHeight w:val="558"/>
        </w:trPr>
        <w:tc>
          <w:tcPr>
            <w:tcW w:w="621" w:type="dxa"/>
            <w:shd w:val="clear" w:color="auto" w:fill="auto"/>
          </w:tcPr>
          <w:p>
            <w:pPr>
              <w:jc w:val="center"/>
              <w:rPr>
                <w:rFonts w:eastAsia="Times New Roman" w:cs="Times New Roman"/>
                <w:szCs w:val="24"/>
              </w:rPr>
            </w:pPr>
            <w:r>
              <w:rPr>
                <w:rFonts w:eastAsia="Times New Roman" w:cs="Times New Roman"/>
                <w:szCs w:val="24"/>
              </w:rPr>
              <w:t>9</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 высокой степенью энергосбережения с расщеплёнными носком и пяткой для безопасной ходьбы по пересеченной местности адаптирующаяся к неровностям опоры во всех плоскостях.  </w:t>
            </w:r>
            <w:r>
              <w:rPr>
                <w:rFonts w:eastAsia="Calibri" w:cs="Times New Roman"/>
                <w:szCs w:val="24"/>
              </w:rPr>
              <w:lastRenderedPageBreak/>
              <w:t>Крепление протеза с использованием замка для полимерных чехлов,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30</w:t>
            </w:r>
          </w:p>
        </w:tc>
      </w:tr>
      <w:tr>
        <w:trPr>
          <w:trHeight w:val="42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10</w:t>
            </w:r>
          </w:p>
        </w:tc>
        <w:tc>
          <w:tcPr>
            <w:tcW w:w="1701" w:type="dxa"/>
          </w:tcPr>
          <w:p>
            <w:pPr>
              <w:jc w:val="both"/>
              <w:rPr>
                <w:rFonts w:eastAsia="Calibri" w:cs="Times New Roman"/>
                <w:szCs w:val="24"/>
              </w:rPr>
            </w:pPr>
            <w:r>
              <w:rPr>
                <w:rFonts w:eastAsia="Calibri" w:cs="Times New Roman"/>
                <w:szCs w:val="24"/>
              </w:rPr>
              <w:t>Протез голени модульный, в том числе при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голени модульный, в том числе при недоразвитии, высокого уровня активности. Постоянный.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Стопа </w:t>
            </w:r>
            <w:proofErr w:type="spellStart"/>
            <w:r>
              <w:rPr>
                <w:rFonts w:eastAsia="Calibri" w:cs="Times New Roman"/>
                <w:szCs w:val="24"/>
              </w:rPr>
              <w:t>углепластиковая</w:t>
            </w:r>
            <w:proofErr w:type="spellEnd"/>
            <w:r>
              <w:rPr>
                <w:rFonts w:eastAsia="Calibri" w:cs="Times New Roman"/>
                <w:szCs w:val="24"/>
              </w:rPr>
              <w:t xml:space="preserve"> с высокой степенью энергосбережения с расщепленной носочной частью, отведенным первым пальцем, активной пяткой, позволяющей самостоятельно производить регулировку высоты каблука в диапазоне от 0 до </w:t>
            </w:r>
            <w:smartTag w:uri="urn:schemas-microsoft-com:office:smarttags" w:element="metricconverter">
              <w:smartTagPr>
                <w:attr w:name="ProductID" w:val="7,0 см"/>
              </w:smartTagPr>
              <w:r>
                <w:rPr>
                  <w:rFonts w:eastAsia="Calibri" w:cs="Times New Roman"/>
                  <w:szCs w:val="24"/>
                </w:rPr>
                <w:t>7,0 см</w:t>
              </w:r>
            </w:smartTag>
            <w:r>
              <w:rPr>
                <w:rFonts w:eastAsia="Calibri" w:cs="Times New Roman"/>
                <w:szCs w:val="24"/>
              </w:rPr>
              <w:t xml:space="preserve"> или стопа </w:t>
            </w:r>
            <w:proofErr w:type="spellStart"/>
            <w:r>
              <w:rPr>
                <w:rFonts w:eastAsia="Calibri" w:cs="Times New Roman"/>
                <w:szCs w:val="24"/>
              </w:rPr>
              <w:t>углепластиковая</w:t>
            </w:r>
            <w:proofErr w:type="spellEnd"/>
            <w:r>
              <w:rPr>
                <w:rFonts w:eastAsia="Calibri" w:cs="Times New Roman"/>
                <w:szCs w:val="24"/>
              </w:rPr>
              <w:t xml:space="preserve"> с высокой степенью энергосбережения с гидравлическим голеностопным шарниром. Крепление протеза с использованием замка для полимерных чехлов или крепление вакуумное с герметизирующим коленным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25</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t>11</w:t>
            </w:r>
          </w:p>
        </w:tc>
        <w:tc>
          <w:tcPr>
            <w:tcW w:w="1701" w:type="dxa"/>
          </w:tcPr>
          <w:p>
            <w:pPr>
              <w:jc w:val="both"/>
              <w:rPr>
                <w:rFonts w:eastAsia="Calibri" w:cs="Times New Roman"/>
                <w:szCs w:val="24"/>
              </w:rPr>
            </w:pPr>
            <w:r>
              <w:rPr>
                <w:rFonts w:eastAsia="Calibri" w:cs="Times New Roman"/>
                <w:szCs w:val="24"/>
              </w:rPr>
              <w:t xml:space="preserve">Протез бедра для купания </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влагостойкие. Коленный шарнир одноосный, многоосный, гидравлический, влагостойкий.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40</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12</w:t>
            </w:r>
          </w:p>
        </w:tc>
        <w:tc>
          <w:tcPr>
            <w:tcW w:w="1701" w:type="dxa"/>
          </w:tcPr>
          <w:p>
            <w:pPr>
              <w:jc w:val="both"/>
              <w:rPr>
                <w:rFonts w:eastAsia="Calibri" w:cs="Times New Roman"/>
                <w:szCs w:val="24"/>
              </w:rPr>
            </w:pPr>
            <w:r>
              <w:rPr>
                <w:rFonts w:eastAsia="Calibri" w:cs="Times New Roman"/>
                <w:szCs w:val="24"/>
              </w:rPr>
              <w:t xml:space="preserve">Протез бедра для купания </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являющийся неотъемлемой частью протеза.  Регулировочно-соединительные устройства на нагрузку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влагостойкие. Коленный шарнир одноосный, многоосный, гидравлический, влагостойкий.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водостойкое замковое для полимерных чехлов, вакуумный клапан, бандаж (по медицинским показаниям). Специальный.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35</w:t>
            </w:r>
          </w:p>
        </w:tc>
      </w:tr>
      <w:tr>
        <w:trPr>
          <w:trHeight w:val="132"/>
        </w:trPr>
        <w:tc>
          <w:tcPr>
            <w:tcW w:w="621" w:type="dxa"/>
            <w:shd w:val="clear" w:color="auto" w:fill="auto"/>
          </w:tcPr>
          <w:p>
            <w:pPr>
              <w:jc w:val="center"/>
              <w:rPr>
                <w:rFonts w:eastAsia="Times New Roman" w:cs="Times New Roman"/>
                <w:szCs w:val="24"/>
              </w:rPr>
            </w:pPr>
            <w:r>
              <w:rPr>
                <w:rFonts w:eastAsia="Times New Roman" w:cs="Times New Roman"/>
                <w:szCs w:val="24"/>
              </w:rPr>
              <w:t>13</w:t>
            </w:r>
          </w:p>
        </w:tc>
        <w:tc>
          <w:tcPr>
            <w:tcW w:w="1701" w:type="dxa"/>
          </w:tcPr>
          <w:p>
            <w:pPr>
              <w:jc w:val="both"/>
              <w:rPr>
                <w:rFonts w:eastAsia="Calibri" w:cs="Times New Roman"/>
                <w:szCs w:val="24"/>
              </w:rPr>
            </w:pPr>
            <w:r>
              <w:rPr>
                <w:rFonts w:eastAsia="Calibri" w:cs="Times New Roman"/>
                <w:szCs w:val="24"/>
              </w:rPr>
              <w:t xml:space="preserve">Протез бедра для купания </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влагостойкие. Коленный шарнир одноосный, облегченный, с функцией ручного замка, влагозащищенный.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35</w:t>
            </w:r>
          </w:p>
        </w:tc>
      </w:tr>
      <w:tr>
        <w:trPr>
          <w:trHeight w:val="286"/>
        </w:trPr>
        <w:tc>
          <w:tcPr>
            <w:tcW w:w="621" w:type="dxa"/>
            <w:shd w:val="clear" w:color="auto" w:fill="auto"/>
          </w:tcPr>
          <w:p>
            <w:pPr>
              <w:jc w:val="center"/>
              <w:rPr>
                <w:rFonts w:eastAsia="Times New Roman" w:cs="Times New Roman"/>
                <w:szCs w:val="24"/>
              </w:rPr>
            </w:pPr>
            <w:r>
              <w:rPr>
                <w:rFonts w:eastAsia="Times New Roman" w:cs="Times New Roman"/>
                <w:szCs w:val="24"/>
              </w:rPr>
              <w:t>14</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механическим регулированием </w:t>
            </w:r>
            <w:r>
              <w:rPr>
                <w:rFonts w:eastAsia="Calibri" w:cs="Times New Roman"/>
                <w:szCs w:val="24"/>
              </w:rPr>
              <w:lastRenderedPageBreak/>
              <w:t xml:space="preserve">фазы сгибания и разгибания, одноосный замковый. Стопа шарнирная полиуретановая с регулируемой жёсткостью пятки и сменным задним амортизатором, стопа </w:t>
            </w:r>
            <w:proofErr w:type="spellStart"/>
            <w:r>
              <w:rPr>
                <w:rFonts w:eastAsia="Calibri" w:cs="Times New Roman"/>
                <w:szCs w:val="24"/>
              </w:rPr>
              <w:t>бесшарнирная</w:t>
            </w:r>
            <w:proofErr w:type="spellEnd"/>
            <w:r>
              <w:rPr>
                <w:rFonts w:eastAsia="Calibri" w:cs="Times New Roman"/>
                <w:szCs w:val="24"/>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бандажом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35</w:t>
            </w:r>
          </w:p>
        </w:tc>
      </w:tr>
      <w:tr>
        <w:trPr>
          <w:trHeight w:val="557"/>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15</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23</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t>16</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w:t>
            </w:r>
            <w:r>
              <w:rPr>
                <w:rFonts w:eastAsia="Calibri" w:cs="Times New Roman"/>
                <w:szCs w:val="24"/>
              </w:rPr>
              <w:lastRenderedPageBreak/>
              <w:t>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поворотное устройство.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33</w:t>
            </w:r>
          </w:p>
        </w:tc>
      </w:tr>
      <w:tr>
        <w:trPr>
          <w:trHeight w:val="274"/>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17</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из полимерных материалов.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одноосный с пневматическим управление фазой переноса и механизмом торможения под нагрузкой.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Крепление замковое для полимерных чехлов, вакуумный клапан, бандаж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32</w:t>
            </w:r>
          </w:p>
        </w:tc>
      </w:tr>
      <w:tr>
        <w:trPr>
          <w:trHeight w:val="711"/>
        </w:trPr>
        <w:tc>
          <w:tcPr>
            <w:tcW w:w="621" w:type="dxa"/>
            <w:shd w:val="clear" w:color="auto" w:fill="auto"/>
          </w:tcPr>
          <w:p>
            <w:pPr>
              <w:jc w:val="center"/>
              <w:rPr>
                <w:rFonts w:eastAsia="Times New Roman" w:cs="Times New Roman"/>
                <w:szCs w:val="24"/>
              </w:rPr>
            </w:pPr>
            <w:r>
              <w:rPr>
                <w:rFonts w:eastAsia="Times New Roman" w:cs="Times New Roman"/>
                <w:szCs w:val="24"/>
              </w:rPr>
              <w:t>18</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w:t>
            </w:r>
            <w:r>
              <w:rPr>
                <w:rFonts w:eastAsia="Calibri" w:cs="Times New Roman"/>
                <w:szCs w:val="24"/>
              </w:rPr>
              <w:lastRenderedPageBreak/>
              <w:t>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поворотное устройство.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25</w:t>
            </w:r>
          </w:p>
        </w:tc>
      </w:tr>
      <w:tr>
        <w:trPr>
          <w:trHeight w:val="995"/>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19</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из листового термопласта сверхмягкого (</w:t>
            </w:r>
            <w:proofErr w:type="spellStart"/>
            <w:r>
              <w:rPr>
                <w:rFonts w:eastAsia="Calibri" w:cs="Times New Roman"/>
                <w:szCs w:val="24"/>
              </w:rPr>
              <w:t>супрасофта</w:t>
            </w:r>
            <w:proofErr w:type="spellEnd"/>
            <w:r>
              <w:rPr>
                <w:rFonts w:eastAsia="Calibri" w:cs="Times New Roman"/>
                <w:szCs w:val="24"/>
              </w:rPr>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Крепление - вакуумный клапан, бандаж.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25</w:t>
            </w:r>
          </w:p>
        </w:tc>
      </w:tr>
      <w:tr>
        <w:trPr>
          <w:trHeight w:val="428"/>
        </w:trPr>
        <w:tc>
          <w:tcPr>
            <w:tcW w:w="621" w:type="dxa"/>
            <w:shd w:val="clear" w:color="auto" w:fill="auto"/>
          </w:tcPr>
          <w:p>
            <w:pPr>
              <w:jc w:val="center"/>
              <w:rPr>
                <w:rFonts w:eastAsia="Times New Roman" w:cs="Times New Roman"/>
                <w:szCs w:val="24"/>
              </w:rPr>
            </w:pPr>
            <w:r>
              <w:rPr>
                <w:rFonts w:eastAsia="Times New Roman" w:cs="Times New Roman"/>
                <w:szCs w:val="24"/>
              </w:rPr>
              <w:t>20</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p>
            <w:pPr>
              <w:jc w:val="both"/>
              <w:rPr>
                <w:rFonts w:eastAsia="Calibri" w:cs="Times New Roman"/>
                <w:szCs w:val="24"/>
              </w:rPr>
            </w:pP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w:t>
            </w:r>
            <w:r>
              <w:rPr>
                <w:rFonts w:eastAsia="Calibri" w:cs="Times New Roman"/>
                <w:szCs w:val="24"/>
              </w:rPr>
              <w:lastRenderedPageBreak/>
              <w:t xml:space="preserve">слепку из листового термопласта. Постоянная приемная гильза по слепку из слоистого пластика на основе связующих смол. Вкладной элемент - чехол среднего уровня стабилизации.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многоосный гидравлический с раздельной регулировкой фазы сгибания и разгибания, одноосный гидравлический.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замковое для полимерных чехлов, вакуумный клапан, бандаж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lastRenderedPageBreak/>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12</w:t>
            </w:r>
          </w:p>
        </w:tc>
      </w:tr>
      <w:tr>
        <w:trPr>
          <w:trHeight w:val="1136"/>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21</w:t>
            </w:r>
          </w:p>
        </w:tc>
        <w:tc>
          <w:tcPr>
            <w:tcW w:w="1701" w:type="dxa"/>
          </w:tcPr>
          <w:p>
            <w:pPr>
              <w:jc w:val="both"/>
              <w:rPr>
                <w:rFonts w:eastAsia="Calibri" w:cs="Times New Roman"/>
                <w:szCs w:val="24"/>
              </w:rPr>
            </w:pPr>
            <w:r>
              <w:rPr>
                <w:rFonts w:eastAsia="Calibri" w:cs="Times New Roman"/>
                <w:szCs w:val="24"/>
              </w:rPr>
              <w:t>Протез бедра модульный, в том числе при врожденном недоразвитии</w:t>
            </w:r>
          </w:p>
        </w:tc>
        <w:tc>
          <w:tcPr>
            <w:tcW w:w="4990" w:type="dxa"/>
            <w:shd w:val="clear" w:color="auto" w:fill="auto"/>
          </w:tcPr>
          <w:p>
            <w:pPr>
              <w:jc w:val="both"/>
              <w:rPr>
                <w:rFonts w:eastAsia="Calibri" w:cs="Times New Roman"/>
                <w:szCs w:val="24"/>
              </w:rPr>
            </w:pPr>
            <w:r>
              <w:rPr>
                <w:rFonts w:eastAsia="Calibri" w:cs="Times New Roman"/>
                <w:szCs w:val="24"/>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среднего уровня стабилизации. Регулировочно-соединительные устройства на нагрузку </w:t>
            </w:r>
            <w:smartTag w:uri="urn:schemas-microsoft-com:office:smarttags" w:element="metricconverter">
              <w:smartTagPr>
                <w:attr w:name="ProductID" w:val="100 кг"/>
              </w:smartTagPr>
              <w:r>
                <w:rPr>
                  <w:rFonts w:eastAsia="Calibri" w:cs="Times New Roman"/>
                  <w:szCs w:val="24"/>
                </w:rPr>
                <w:t>100 кг</w:t>
              </w:r>
            </w:smartTag>
            <w:r>
              <w:rPr>
                <w:rFonts w:eastAsia="Calibri" w:cs="Times New Roman"/>
                <w:szCs w:val="24"/>
              </w:rPr>
              <w:t xml:space="preserve"> (включительно). Коленный модуль шестизвенный с гидравлической регулировкой фазы сгибания и геометрическим замком контроля фазы разгибания, срабатывающим в зависимости от приложения силы реакции опоры.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замковое для полимерных чехлов, вакуумный клапан, бандаж (по медицинским показаниям). Чехол шерстяной, хлопчатобумажный, полиамидный (по выбору Получателя), являющийся неотъемлемой частью протеза. Постоянный.</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12</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lastRenderedPageBreak/>
              <w:t>22</w:t>
            </w:r>
          </w:p>
        </w:tc>
        <w:tc>
          <w:tcPr>
            <w:tcW w:w="1701" w:type="dxa"/>
          </w:tcPr>
          <w:p>
            <w:pPr>
              <w:jc w:val="both"/>
              <w:rPr>
                <w:rFonts w:eastAsia="Calibri" w:cs="Times New Roman"/>
                <w:szCs w:val="24"/>
              </w:rPr>
            </w:pPr>
            <w:r>
              <w:rPr>
                <w:rFonts w:eastAsia="Calibri" w:cs="Times New Roman"/>
                <w:szCs w:val="24"/>
              </w:rPr>
              <w:t>Протез при вычленении бедра модульный</w:t>
            </w:r>
          </w:p>
          <w:p>
            <w:pPr>
              <w:jc w:val="both"/>
              <w:rPr>
                <w:rFonts w:eastAsia="Calibri" w:cs="Times New Roman"/>
                <w:szCs w:val="24"/>
              </w:rPr>
            </w:pPr>
          </w:p>
        </w:tc>
        <w:tc>
          <w:tcPr>
            <w:tcW w:w="4990" w:type="dxa"/>
            <w:shd w:val="clear" w:color="auto" w:fill="auto"/>
          </w:tcPr>
          <w:p>
            <w:pPr>
              <w:jc w:val="both"/>
              <w:rPr>
                <w:rFonts w:eastAsia="Calibri" w:cs="Times New Roman"/>
                <w:szCs w:val="24"/>
                <w:lang w:val="en-US"/>
              </w:rPr>
            </w:pPr>
            <w:r>
              <w:rPr>
                <w:rFonts w:eastAsia="Calibri" w:cs="Times New Roman"/>
                <w:szCs w:val="24"/>
              </w:rPr>
              <w:t xml:space="preserve">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Коленный шарнир с зависимым механическим регулированием фаз сгибания - разгибания, полицентрический. Тазобедренный шарнир моноцентрический, замковый. Стопа шарнирная полиуретановая, монолитная. Крепление поясное с использованием ленты «контакт». Постоянный</w:t>
            </w:r>
            <w:r>
              <w:rPr>
                <w:rFonts w:eastAsia="Calibri" w:cs="Times New Roman"/>
                <w:szCs w:val="24"/>
                <w:lang w:val="en-US"/>
              </w:rPr>
              <w:t>.</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5</w:t>
            </w:r>
          </w:p>
        </w:tc>
      </w:tr>
      <w:tr>
        <w:trPr>
          <w:trHeight w:val="1408"/>
        </w:trPr>
        <w:tc>
          <w:tcPr>
            <w:tcW w:w="621" w:type="dxa"/>
            <w:shd w:val="clear" w:color="auto" w:fill="auto"/>
          </w:tcPr>
          <w:p>
            <w:pPr>
              <w:jc w:val="center"/>
              <w:rPr>
                <w:rFonts w:eastAsia="Times New Roman" w:cs="Times New Roman"/>
                <w:szCs w:val="24"/>
              </w:rPr>
            </w:pPr>
            <w:r>
              <w:rPr>
                <w:rFonts w:eastAsia="Times New Roman" w:cs="Times New Roman"/>
                <w:szCs w:val="24"/>
              </w:rPr>
              <w:t>23</w:t>
            </w:r>
          </w:p>
        </w:tc>
        <w:tc>
          <w:tcPr>
            <w:tcW w:w="1701" w:type="dxa"/>
          </w:tcPr>
          <w:p>
            <w:pPr>
              <w:rPr>
                <w:rFonts w:eastAsia="Calibri" w:cs="Times New Roman"/>
                <w:szCs w:val="24"/>
              </w:rPr>
            </w:pPr>
            <w:r>
              <w:rPr>
                <w:rFonts w:eastAsia="Calibri" w:cs="Times New Roman"/>
                <w:szCs w:val="24"/>
              </w:rPr>
              <w:t xml:space="preserve">Протез при вычленении бедра модульный </w:t>
            </w:r>
          </w:p>
        </w:tc>
        <w:tc>
          <w:tcPr>
            <w:tcW w:w="4990" w:type="dxa"/>
            <w:shd w:val="clear" w:color="auto" w:fill="auto"/>
          </w:tcPr>
          <w:p>
            <w:pPr>
              <w:jc w:val="both"/>
              <w:rPr>
                <w:rFonts w:eastAsia="Calibri" w:cs="Times New Roman"/>
                <w:szCs w:val="24"/>
                <w:lang w:val="en-US"/>
              </w:rPr>
            </w:pPr>
            <w:r>
              <w:rPr>
                <w:rFonts w:eastAsia="Calibri" w:cs="Times New Roman"/>
                <w:szCs w:val="24"/>
              </w:rPr>
              <w:t xml:space="preserve">Протез при вычленении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25 кг"/>
              </w:smartTagPr>
              <w:r>
                <w:rPr>
                  <w:rFonts w:eastAsia="Calibri" w:cs="Times New Roman"/>
                  <w:szCs w:val="24"/>
                </w:rPr>
                <w:t>125 кг</w:t>
              </w:r>
            </w:smartTag>
            <w:r>
              <w:rPr>
                <w:rFonts w:eastAsia="Calibri" w:cs="Times New Roman"/>
                <w:szCs w:val="24"/>
              </w:rPr>
              <w:t xml:space="preserve"> (включительно). Коленный шарнир многоосный, с независимым пневматическим регулированием фазы сгибания и разгибания. Тазобедренный шарнир моноцентрический. Стопа </w:t>
            </w:r>
            <w:proofErr w:type="spellStart"/>
            <w:r>
              <w:rPr>
                <w:rFonts w:eastAsia="Calibri" w:cs="Times New Roman"/>
                <w:szCs w:val="24"/>
              </w:rPr>
              <w:t>углепластиковая</w:t>
            </w:r>
            <w:proofErr w:type="spellEnd"/>
            <w:r>
              <w:rPr>
                <w:rFonts w:eastAsia="Calibri" w:cs="Times New Roman"/>
                <w:szCs w:val="24"/>
              </w:rPr>
              <w:t xml:space="preserve"> со средним уровнем энергосбережения. Дополнительное регулировочно-соединительное устройство - надколенное поворотное устройство. Крепление поясное с использованием ленты «контакт». Постоянный</w:t>
            </w:r>
            <w:r>
              <w:rPr>
                <w:rFonts w:eastAsia="Calibri" w:cs="Times New Roman"/>
                <w:szCs w:val="24"/>
                <w:lang w:val="en-US"/>
              </w:rPr>
              <w:t>.</w:t>
            </w:r>
          </w:p>
        </w:tc>
        <w:tc>
          <w:tcPr>
            <w:tcW w:w="1559" w:type="dxa"/>
          </w:tcPr>
          <w:p>
            <w:pPr>
              <w:jc w:val="center"/>
            </w:pPr>
            <w:r>
              <w:rPr>
                <w:rFonts w:eastAsia="Calibri" w:cs="Times New Roman"/>
                <w:szCs w:val="24"/>
              </w:rPr>
              <w:t>наличие</w:t>
            </w:r>
          </w:p>
        </w:tc>
        <w:tc>
          <w:tcPr>
            <w:tcW w:w="1276" w:type="dxa"/>
            <w:shd w:val="clear" w:color="auto" w:fill="auto"/>
          </w:tcPr>
          <w:p>
            <w:pPr>
              <w:jc w:val="center"/>
              <w:rPr>
                <w:rFonts w:eastAsia="Times New Roman" w:cs="Times New Roman"/>
                <w:szCs w:val="24"/>
              </w:rPr>
            </w:pPr>
            <w:r>
              <w:rPr>
                <w:rFonts w:eastAsia="Times New Roman" w:cs="Times New Roman"/>
                <w:szCs w:val="24"/>
              </w:rPr>
              <w:t>7</w:t>
            </w:r>
          </w:p>
        </w:tc>
      </w:tr>
      <w:bookmarkEnd w:id="0"/>
      <w:tr>
        <w:trPr>
          <w:trHeight w:val="339"/>
        </w:trPr>
        <w:tc>
          <w:tcPr>
            <w:tcW w:w="7312" w:type="dxa"/>
            <w:gridSpan w:val="3"/>
            <w:shd w:val="clear" w:color="auto" w:fill="auto"/>
          </w:tcPr>
          <w:p>
            <w:pPr>
              <w:jc w:val="both"/>
              <w:rPr>
                <w:rFonts w:eastAsia="Calibri" w:cs="Times New Roman"/>
                <w:szCs w:val="24"/>
              </w:rPr>
            </w:pPr>
          </w:p>
        </w:tc>
        <w:tc>
          <w:tcPr>
            <w:tcW w:w="1559" w:type="dxa"/>
          </w:tcPr>
          <w:p>
            <w:pPr>
              <w:jc w:val="center"/>
              <w:rPr>
                <w:rFonts w:eastAsia="Times New Roman" w:cs="Times New Roman"/>
                <w:b/>
                <w:szCs w:val="24"/>
              </w:rPr>
            </w:pPr>
          </w:p>
        </w:tc>
        <w:tc>
          <w:tcPr>
            <w:tcW w:w="1276" w:type="dxa"/>
            <w:shd w:val="clear" w:color="auto" w:fill="auto"/>
          </w:tcPr>
          <w:p>
            <w:pPr>
              <w:jc w:val="center"/>
              <w:rPr>
                <w:rFonts w:eastAsia="Times New Roman" w:cs="Times New Roman"/>
                <w:b/>
                <w:szCs w:val="24"/>
              </w:rPr>
            </w:pPr>
            <w:r>
              <w:rPr>
                <w:rFonts w:eastAsia="Times New Roman" w:cs="Times New Roman"/>
                <w:b/>
                <w:szCs w:val="24"/>
              </w:rPr>
              <w:t>665</w:t>
            </w:r>
          </w:p>
        </w:tc>
      </w:tr>
    </w:tbl>
    <w:p>
      <w:pPr>
        <w:widowControl w:val="0"/>
        <w:ind w:right="-24"/>
        <w:jc w:val="both"/>
        <w:rPr>
          <w:rFonts w:eastAsia="Calibri" w:cs="Times New Roman"/>
          <w:b/>
          <w:szCs w:val="24"/>
        </w:rPr>
      </w:pPr>
    </w:p>
    <w:p>
      <w:pPr>
        <w:ind w:right="-24"/>
        <w:jc w:val="both"/>
        <w:rPr>
          <w:rFonts w:eastAsia="Calibri" w:cs="Times New Roman"/>
          <w:szCs w:val="24"/>
          <w:lang w:eastAsia="en-US"/>
        </w:rPr>
      </w:pPr>
      <w:r>
        <w:rPr>
          <w:rFonts w:eastAsia="Calibri" w:cs="Times New Roman"/>
          <w:szCs w:val="24"/>
          <w:lang w:eastAsia="en-US"/>
        </w:rPr>
        <w:t>3.2. Качественные характеристики объекта закупки:</w:t>
      </w:r>
    </w:p>
    <w:p>
      <w:pPr>
        <w:ind w:right="-24"/>
        <w:jc w:val="both"/>
        <w:rPr>
          <w:rFonts w:eastAsia="Calibri" w:cs="Times New Roman"/>
          <w:szCs w:val="24"/>
          <w:lang w:eastAsia="en-US"/>
        </w:rPr>
      </w:pPr>
      <w:r>
        <w:rPr>
          <w:rFonts w:eastAsia="Calibri" w:cs="Times New Roman"/>
          <w:szCs w:val="24"/>
          <w:lang w:eastAsia="en-US"/>
        </w:rPr>
        <w:t>3.2.1 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 (Закон Российской Федерации от 07.02.1992 №2300-1 «О защите прав потребителей»).</w:t>
      </w:r>
    </w:p>
    <w:p>
      <w:pPr>
        <w:jc w:val="both"/>
        <w:rPr>
          <w:rFonts w:eastAsia="Times New Roman" w:cs="Times New Roman"/>
          <w:szCs w:val="24"/>
        </w:rPr>
      </w:pPr>
      <w:r>
        <w:rPr>
          <w:rFonts w:eastAsia="Times New Roman" w:cs="Times New Roman"/>
          <w:szCs w:val="24"/>
        </w:rPr>
        <w:t>3.2.2 Изделия должны соответствовать следующим государственным стандартам (ГОСТ), действующим на территории Российской Федерации:</w:t>
      </w:r>
    </w:p>
    <w:p>
      <w:pPr>
        <w:jc w:val="both"/>
        <w:rPr>
          <w:rFonts w:eastAsia="Times New Roman" w:cs="Times New Roman"/>
          <w:szCs w:val="24"/>
        </w:rPr>
      </w:pPr>
      <w:r>
        <w:rPr>
          <w:rFonts w:eastAsia="Times New Roman" w:cs="Times New Roman"/>
          <w:szCs w:val="24"/>
        </w:rPr>
        <w:t xml:space="preserve"> - ГОСТ Р 53869-2021 «Протезы нижних конечностей. Технические требования»;</w:t>
      </w:r>
    </w:p>
    <w:p>
      <w:pPr>
        <w:jc w:val="both"/>
        <w:rPr>
          <w:rFonts w:eastAsia="Times New Roman" w:cs="Times New Roman"/>
          <w:szCs w:val="24"/>
        </w:rPr>
      </w:pPr>
      <w:r>
        <w:rPr>
          <w:rFonts w:eastAsia="Times New Roman" w:cs="Times New Roman"/>
          <w:szCs w:val="24"/>
        </w:rPr>
        <w:t xml:space="preserve"> - </w:t>
      </w:r>
      <w:r>
        <w:rPr>
          <w:rFonts w:eastAsia="Calibri" w:cs="Times New Roman"/>
          <w:szCs w:val="24"/>
          <w:lang w:eastAsia="en-US"/>
        </w:rPr>
        <w:t>ГОСТ Р 51819-2022</w:t>
      </w:r>
      <w:r>
        <w:rPr>
          <w:rFonts w:eastAsia="Times New Roman" w:cs="Times New Roman"/>
          <w:szCs w:val="24"/>
        </w:rPr>
        <w:t xml:space="preserve"> «Протезирование и </w:t>
      </w:r>
      <w:proofErr w:type="spellStart"/>
      <w:r>
        <w:rPr>
          <w:rFonts w:eastAsia="Times New Roman" w:cs="Times New Roman"/>
          <w:szCs w:val="24"/>
        </w:rPr>
        <w:t>ортезирование</w:t>
      </w:r>
      <w:proofErr w:type="spellEnd"/>
      <w:r>
        <w:rPr>
          <w:rFonts w:eastAsia="Times New Roman" w:cs="Times New Roman"/>
          <w:szCs w:val="24"/>
        </w:rPr>
        <w:t xml:space="preserve"> верхних и нижних конечностей. Термины и определения»;</w:t>
      </w:r>
    </w:p>
    <w:p>
      <w:pPr>
        <w:jc w:val="both"/>
        <w:rPr>
          <w:rFonts w:eastAsia="Times New Roman" w:cs="Times New Roman"/>
          <w:szCs w:val="24"/>
          <w:lang w:eastAsia="en-US"/>
        </w:rPr>
      </w:pPr>
      <w:r>
        <w:rPr>
          <w:rFonts w:eastAsia="Times New Roman" w:cs="Times New Roman"/>
          <w:szCs w:val="24"/>
          <w:lang w:eastAsia="en-US"/>
        </w:rPr>
        <w:lastRenderedPageBreak/>
        <w:t xml:space="preserve"> </w:t>
      </w:r>
      <w:r>
        <w:rPr>
          <w:rFonts w:eastAsia="Times New Roman" w:cs="Times New Roman"/>
          <w:szCs w:val="24"/>
        </w:rPr>
        <w:t xml:space="preserve">- </w:t>
      </w:r>
      <w:r>
        <w:rPr>
          <w:rFonts w:eastAsia="Times New Roman" w:cs="Times New Roman"/>
          <w:szCs w:val="24"/>
          <w:lang w:eastAsia="en-US"/>
        </w:rPr>
        <w:t>ГОСТ Р 53870-2021 «</w:t>
      </w:r>
      <w:r>
        <w:rPr>
          <w:rFonts w:eastAsia="Calibri" w:cs="Times New Roman"/>
          <w:color w:val="0E141A"/>
          <w:szCs w:val="24"/>
          <w:shd w:val="clear" w:color="auto" w:fill="FFFFFF"/>
        </w:rPr>
        <w:t>Реабилитационные мероприятия</w:t>
      </w:r>
      <w:r>
        <w:rPr>
          <w:rFonts w:eastAsia="Calibri" w:cs="Times New Roman"/>
          <w:color w:val="0E141A"/>
          <w:sz w:val="18"/>
          <w:szCs w:val="18"/>
          <w:shd w:val="clear" w:color="auto" w:fill="FFFFFF"/>
        </w:rPr>
        <w:t xml:space="preserve">. </w:t>
      </w:r>
      <w:r>
        <w:rPr>
          <w:rFonts w:eastAsia="Times New Roman" w:cs="Times New Roman"/>
          <w:szCs w:val="24"/>
          <w:lang w:eastAsia="en-US"/>
        </w:rPr>
        <w:t>Услуги по протезированию нижних конечностей. Состав, содержание и порядок предоставления услуг»;</w:t>
      </w:r>
    </w:p>
    <w:p>
      <w:pPr>
        <w:jc w:val="both"/>
        <w:rPr>
          <w:rFonts w:eastAsia="Times New Roman" w:cs="Times New Roman"/>
          <w:szCs w:val="24"/>
        </w:rPr>
      </w:pPr>
      <w:r>
        <w:rPr>
          <w:rFonts w:eastAsia="Calibri" w:cs="Times New Roman"/>
          <w:szCs w:val="24"/>
        </w:rPr>
        <w:t xml:space="preserve">- </w:t>
      </w:r>
      <w:r>
        <w:rPr>
          <w:rFonts w:eastAsia="Times New Roman" w:cs="Times New Roman"/>
          <w:szCs w:val="24"/>
          <w:lang w:eastAsia="en-US"/>
        </w:rPr>
        <w:t>ГОСТ Р ИСО 13405-1-2018 «</w:t>
      </w:r>
      <w:r>
        <w:rPr>
          <w:rFonts w:eastAsia="Calibri" w:cs="Times New Roman"/>
          <w:szCs w:val="24"/>
        </w:rPr>
        <w:t>Протезирование и ортопедия. Классификация и описание узлов протезов. Часть 1. Классификация узлов протезов».</w:t>
      </w:r>
    </w:p>
    <w:p>
      <w:pPr>
        <w:ind w:right="-24"/>
        <w:jc w:val="both"/>
        <w:rPr>
          <w:rFonts w:eastAsia="Calibri" w:cs="Times New Roman"/>
          <w:bCs/>
          <w:szCs w:val="24"/>
          <w:lang w:eastAsia="en-US"/>
        </w:rPr>
      </w:pPr>
      <w:r>
        <w:rPr>
          <w:rFonts w:eastAsia="Calibri" w:cs="Times New Roman"/>
          <w:bCs/>
          <w:szCs w:val="24"/>
          <w:lang w:eastAsia="en-US"/>
        </w:rPr>
        <w:t>3.2.3</w:t>
      </w:r>
      <w:r>
        <w:rPr>
          <w:rFonts w:eastAsia="Times New Roman" w:cs="Times New Roman"/>
          <w:szCs w:val="24"/>
        </w:rPr>
        <w:t xml:space="preserve"> Изделия должны быть новыми</w:t>
      </w:r>
      <w:r>
        <w:rPr>
          <w:rFonts w:eastAsia="Calibri" w:cs="Times New Roman"/>
          <w:szCs w:val="24"/>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r>
        <w:rPr>
          <w:rFonts w:eastAsia="Times New Roman" w:cs="Times New Roman"/>
          <w:szCs w:val="24"/>
        </w:rPr>
        <w:t>Изделия должны быть свободными от прав третьих лиц.</w:t>
      </w:r>
    </w:p>
    <w:p>
      <w:pPr>
        <w:autoSpaceDE w:val="0"/>
        <w:jc w:val="both"/>
        <w:rPr>
          <w:rFonts w:eastAsia="Times New Roman" w:cs="Times New Roman"/>
          <w:szCs w:val="24"/>
        </w:rPr>
      </w:pPr>
      <w:r>
        <w:rPr>
          <w:rFonts w:eastAsia="Calibri" w:cs="Times New Roman"/>
          <w:bCs/>
          <w:szCs w:val="24"/>
          <w:lang w:eastAsia="en-US"/>
        </w:rPr>
        <w:t xml:space="preserve">3.2.4 </w:t>
      </w:r>
      <w:r>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rPr>
          <w:rFonts w:eastAsia="Times New Roman" w:cs="Times New Roman"/>
          <w:szCs w:val="24"/>
        </w:rPr>
      </w:pPr>
      <w:r>
        <w:rPr>
          <w:rFonts w:eastAsia="Times New Roman" w:cs="Times New Roman"/>
          <w:szCs w:val="24"/>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Pr>
          <w:rFonts w:eastAsia="Times New Roman" w:cs="Times New Roman"/>
          <w:szCs w:val="24"/>
        </w:rPr>
        <w:t>ортезы</w:t>
      </w:r>
      <w:proofErr w:type="spellEnd"/>
      <w:r>
        <w:rPr>
          <w:rFonts w:eastAsia="Times New Roman" w:cs="Times New Roman"/>
          <w:szCs w:val="24"/>
        </w:rP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pPr>
        <w:jc w:val="both"/>
        <w:rPr>
          <w:rFonts w:eastAsia="Times New Roman" w:cs="Times New Roman"/>
          <w:szCs w:val="24"/>
        </w:rPr>
      </w:pPr>
      <w:r>
        <w:rPr>
          <w:rFonts w:eastAsia="Times New Roman" w:cs="Times New Roman"/>
          <w:szCs w:val="24"/>
        </w:rPr>
        <w:t xml:space="preserve">3.2.5 Гарантийный срок на Изделие составляет: </w:t>
      </w:r>
    </w:p>
    <w:p>
      <w:pPr>
        <w:jc w:val="both"/>
        <w:rPr>
          <w:rFonts w:eastAsia="Times New Roman" w:cs="Times New Roman"/>
          <w:szCs w:val="24"/>
        </w:rPr>
      </w:pPr>
      <w:r>
        <w:rPr>
          <w:rFonts w:eastAsia="Calibri" w:cs="Times New Roman"/>
          <w:szCs w:val="24"/>
        </w:rPr>
        <w:t xml:space="preserve">- </w:t>
      </w:r>
      <w:r>
        <w:rPr>
          <w:rFonts w:eastAsia="Times New Roman" w:cs="Times New Roman"/>
          <w:szCs w:val="24"/>
        </w:rPr>
        <w:t xml:space="preserve">на функциональные части и на </w:t>
      </w:r>
      <w:proofErr w:type="spellStart"/>
      <w:r>
        <w:rPr>
          <w:rFonts w:eastAsia="Times New Roman" w:cs="Times New Roman"/>
          <w:szCs w:val="24"/>
        </w:rPr>
        <w:t>культеприемную</w:t>
      </w:r>
      <w:proofErr w:type="spellEnd"/>
      <w:r>
        <w:rPr>
          <w:rFonts w:eastAsia="Times New Roman" w:cs="Times New Roman"/>
          <w:szCs w:val="24"/>
        </w:rPr>
        <w:t xml:space="preserve"> гильзу индивидуального изготовления не менее 12 (двенадцати) месяцев с даты получения Изделия Получателем, приказ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pPr>
        <w:ind w:right="-24"/>
        <w:jc w:val="both"/>
        <w:rPr>
          <w:rFonts w:eastAsia="Calibri" w:cs="Times New Roman"/>
          <w:bCs/>
          <w:szCs w:val="24"/>
          <w:lang w:eastAsia="en-US"/>
        </w:rPr>
      </w:pPr>
      <w:r>
        <w:rPr>
          <w:rFonts w:eastAsia="Calibri" w:cs="Times New Roman"/>
          <w:bCs/>
          <w:szCs w:val="24"/>
          <w:lang w:eastAsia="en-US"/>
        </w:rPr>
        <w:t>4. Исполнитель обязан:</w:t>
      </w:r>
    </w:p>
    <w:p>
      <w:pPr>
        <w:ind w:right="-24"/>
        <w:jc w:val="both"/>
        <w:rPr>
          <w:rFonts w:eastAsia="Calibri" w:cs="Times New Roman"/>
          <w:bCs/>
          <w:szCs w:val="24"/>
          <w:lang w:eastAsia="en-US"/>
        </w:rPr>
      </w:pPr>
      <w:r>
        <w:rPr>
          <w:rFonts w:eastAsia="Calibri" w:cs="Times New Roman"/>
          <w:bCs/>
          <w:szCs w:val="24"/>
          <w:lang w:eastAsia="en-US"/>
        </w:rPr>
        <w:t>4.1. Изготавливать Изделие для Получателя, имеющее действующие декларации о соответствии, оформленные в соответствии с законодательством Российской Федерации (при наличии). В случае, если ранее (в соответствии с нормативно-правовыми актами Российской Федерации) Изделие подлежало обязательной сертификации, допускается изготовление Изделия, имеющего действующий сертификат соответствия (при наличии).</w:t>
      </w:r>
    </w:p>
    <w:p>
      <w:pPr>
        <w:ind w:right="-24"/>
        <w:jc w:val="both"/>
        <w:rPr>
          <w:rFonts w:eastAsia="Calibri" w:cs="Times New Roman"/>
          <w:bCs/>
          <w:szCs w:val="24"/>
          <w:lang w:eastAsia="en-US"/>
        </w:rPr>
      </w:pPr>
      <w:r>
        <w:rPr>
          <w:rFonts w:eastAsia="Calibri" w:cs="Times New Roman"/>
          <w:bCs/>
          <w:szCs w:val="24"/>
          <w:lang w:eastAsia="en-US"/>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pPr>
        <w:ind w:right="-24"/>
        <w:jc w:val="both"/>
        <w:rPr>
          <w:rFonts w:eastAsia="Calibri" w:cs="Times New Roman"/>
          <w:bCs/>
          <w:szCs w:val="24"/>
          <w:lang w:eastAsia="en-US"/>
        </w:rPr>
      </w:pPr>
      <w:r>
        <w:rPr>
          <w:rFonts w:eastAsia="Calibri" w:cs="Times New Roman"/>
          <w:bCs/>
          <w:szCs w:val="24"/>
          <w:lang w:eastAsia="en-US"/>
        </w:rPr>
        <w:t>4.2. В ходе исполнения работ (оказания услуг) по протезированию нижних конечностей обучить получателя пользованию протезом в соответствии с ГОСТ Р 59542-2021.</w:t>
      </w:r>
    </w:p>
    <w:p>
      <w:pPr>
        <w:ind w:right="-24"/>
        <w:jc w:val="both"/>
        <w:rPr>
          <w:rFonts w:eastAsia="Calibri" w:cs="Times New Roman"/>
          <w:bCs/>
          <w:szCs w:val="24"/>
          <w:lang w:eastAsia="en-US"/>
        </w:rPr>
      </w:pPr>
      <w:r>
        <w:rPr>
          <w:rFonts w:eastAsia="Calibri" w:cs="Times New Roman"/>
          <w:bCs/>
          <w:szCs w:val="24"/>
          <w:lang w:eastAsia="en-US"/>
        </w:rPr>
        <w:t>4.3. В целях подтверждения проведенного обучения исполнитель обязан составить в соответствии с требованиями пункта 4.6. ГОСТ Р 59542-2021 заключение о проведенном курсе обучения и достигнутом медицинском реабилитационном эффекте в трех экземплярах – один экземпляр предается получателю, второй экземпляр остается у исполнителя, третий экземпляр передается заказчику с актом приема-передачи изделия получателю.</w:t>
      </w:r>
    </w:p>
    <w:p>
      <w:pPr>
        <w:ind w:right="-24"/>
        <w:jc w:val="both"/>
        <w:rPr>
          <w:rFonts w:eastAsia="Calibri" w:cs="Times New Roman"/>
          <w:bCs/>
          <w:szCs w:val="24"/>
          <w:lang w:eastAsia="en-US"/>
        </w:rPr>
      </w:pPr>
      <w:r>
        <w:rPr>
          <w:rFonts w:eastAsia="Calibri" w:cs="Times New Roman"/>
          <w:bCs/>
          <w:szCs w:val="24"/>
          <w:lang w:eastAsia="en-US"/>
        </w:rPr>
        <w:t>4.4. Осуществлять прием Получателя или его представителя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pPr>
        <w:ind w:right="-24"/>
        <w:jc w:val="both"/>
        <w:rPr>
          <w:rFonts w:eastAsia="Calibri" w:cs="Times New Roman"/>
          <w:szCs w:val="24"/>
        </w:rPr>
      </w:pPr>
      <w:r>
        <w:rPr>
          <w:rFonts w:eastAsia="Calibri" w:cs="Times New Roman"/>
          <w:bCs/>
          <w:szCs w:val="24"/>
          <w:lang w:eastAsia="en-US"/>
        </w:rPr>
        <w:t>В случае, если от</w:t>
      </w:r>
      <w:r>
        <w:rPr>
          <w:rFonts w:eastAsia="Calibri" w:cs="Times New Roman"/>
          <w:szCs w:val="24"/>
        </w:rPr>
        <w:t xml:space="preserve">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p>
    <w:p>
      <w:pPr>
        <w:ind w:right="-24"/>
        <w:jc w:val="both"/>
        <w:rPr>
          <w:rFonts w:eastAsia="Calibri" w:cs="Times New Roman"/>
          <w:szCs w:val="24"/>
        </w:rPr>
      </w:pPr>
      <w:r>
        <w:rPr>
          <w:rFonts w:eastAsia="Calibri" w:cs="Times New Roman"/>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pPr>
        <w:jc w:val="both"/>
        <w:rPr>
          <w:rFonts w:ascii="Times New Roman CYR" w:eastAsia="Calibri" w:hAnsi="Times New Roman CYR" w:cs="Times New Roman CYR"/>
          <w:szCs w:val="24"/>
        </w:rPr>
      </w:pPr>
      <w:r>
        <w:rPr>
          <w:rFonts w:eastAsia="Calibri" w:cs="Times New Roman"/>
          <w:szCs w:val="24"/>
        </w:rPr>
        <w:t xml:space="preserve">4.5. </w:t>
      </w:r>
      <w:r>
        <w:rPr>
          <w:rFonts w:ascii="Times New Roman CYR" w:eastAsia="Calibri" w:hAnsi="Times New Roman CYR" w:cs="Times New Roman CYR"/>
          <w:szCs w:val="24"/>
        </w:rPr>
        <w:t xml:space="preserve">При работе с Получателями обеспечить соблюдение рекомендаций и санитарно-эпидемиологических требований </w:t>
      </w:r>
      <w:proofErr w:type="spellStart"/>
      <w:r>
        <w:rPr>
          <w:rFonts w:ascii="Times New Roman CYR" w:eastAsia="Calibri" w:hAnsi="Times New Roman CYR" w:cs="Times New Roman CYR"/>
          <w:szCs w:val="24"/>
        </w:rPr>
        <w:t>Роспотребнадзора</w:t>
      </w:r>
      <w:proofErr w:type="spellEnd"/>
      <w:r>
        <w:rPr>
          <w:rFonts w:ascii="Times New Roman CYR" w:eastAsia="Calibri" w:hAnsi="Times New Roman CYR" w:cs="Times New Roman CYR"/>
          <w:szCs w:val="24"/>
        </w:rPr>
        <w:t xml:space="preserve"> и исполнительных органов государственной </w:t>
      </w:r>
      <w:r>
        <w:rPr>
          <w:rFonts w:ascii="Times New Roman CYR" w:eastAsia="Calibri" w:hAnsi="Times New Roman CYR" w:cs="Times New Roman CYR"/>
          <w:szCs w:val="24"/>
        </w:rPr>
        <w:lastRenderedPageBreak/>
        <w:t xml:space="preserve">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Pr>
          <w:rFonts w:ascii="Times New Roman CYR" w:eastAsia="Calibri" w:hAnsi="Times New Roman CYR" w:cs="Times New Roman CYR"/>
          <w:szCs w:val="24"/>
        </w:rPr>
        <w:t>коронавирусной</w:t>
      </w:r>
      <w:proofErr w:type="spellEnd"/>
      <w:r>
        <w:rPr>
          <w:rFonts w:ascii="Times New Roman CYR" w:eastAsia="Calibri" w:hAnsi="Times New Roman CYR" w:cs="Times New Roman CYR"/>
          <w:szCs w:val="24"/>
        </w:rPr>
        <w:t xml:space="preserve"> инфекции (COVID-19).</w:t>
      </w:r>
    </w:p>
    <w:p>
      <w:pPr>
        <w:ind w:right="-24"/>
        <w:jc w:val="both"/>
        <w:rPr>
          <w:rFonts w:eastAsia="Calibri" w:cs="Times New Roman"/>
          <w:szCs w:val="24"/>
        </w:rPr>
      </w:pPr>
      <w:r>
        <w:rPr>
          <w:rFonts w:eastAsia="Calibri" w:cs="Times New Roman"/>
          <w:szCs w:val="24"/>
        </w:rPr>
        <w:t>4.6.</w:t>
      </w:r>
      <w:r>
        <w:rPr>
          <w:rFonts w:ascii="Times New Roman CYR" w:eastAsia="Calibri" w:hAnsi="Times New Roman CYR" w:cs="Times New Roman CYR"/>
          <w:szCs w:val="24"/>
        </w:rPr>
        <w:t xml:space="preserve"> Обеспечить возможность изготовления Изделия со дня, следующего за днем передачи Исполнителю реестра Получателей, но не ранее 01.01.2024.</w:t>
      </w:r>
    </w:p>
    <w:p>
      <w:pPr>
        <w:ind w:right="-24"/>
        <w:jc w:val="both"/>
        <w:rPr>
          <w:rFonts w:eastAsia="Calibri" w:cs="Times New Roman"/>
          <w:color w:val="000000"/>
          <w:szCs w:val="24"/>
        </w:rPr>
      </w:pPr>
      <w:r>
        <w:rPr>
          <w:rFonts w:eastAsia="Calibri" w:cs="Times New Roman"/>
          <w:szCs w:val="24"/>
        </w:rPr>
        <w:t>4.7.</w:t>
      </w:r>
      <w:r>
        <w:rPr>
          <w:rFonts w:eastAsia="Calibri"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вышедших из строя не по вине Получателя, и (или) имеющих скрытые недостатки или дефекты (брак).</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pPr>
        <w:jc w:val="both"/>
        <w:rPr>
          <w:rFonts w:ascii="Times New Roman CYR" w:eastAsia="Calibri" w:hAnsi="Times New Roman CYR" w:cs="Times New Roman CYR"/>
          <w:szCs w:val="24"/>
        </w:rPr>
      </w:pPr>
      <w:r>
        <w:rPr>
          <w:rFonts w:ascii="Times New Roman CYR" w:eastAsia="Calibri"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pPr>
        <w:autoSpaceDE w:val="0"/>
        <w:ind w:right="-24"/>
        <w:jc w:val="both"/>
        <w:rPr>
          <w:rFonts w:eastAsia="Calibri" w:cs="Times New Roman"/>
          <w:color w:val="000000"/>
          <w:szCs w:val="24"/>
        </w:rPr>
      </w:pPr>
      <w:r>
        <w:rPr>
          <w:rFonts w:eastAsia="Calibri"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Исполнитель должен осуществить замену такого Изделия. </w:t>
      </w:r>
    </w:p>
    <w:p>
      <w:pPr>
        <w:autoSpaceDE w:val="0"/>
        <w:ind w:right="-24"/>
        <w:jc w:val="both"/>
        <w:rPr>
          <w:rFonts w:eastAsia="Calibri" w:cs="Times New Roman"/>
          <w:color w:val="000000"/>
          <w:szCs w:val="24"/>
        </w:rPr>
      </w:pPr>
      <w:r>
        <w:rPr>
          <w:rFonts w:eastAsia="Calibri" w:cs="Times New Roman"/>
          <w:color w:val="000000"/>
          <w:szCs w:val="24"/>
        </w:rPr>
        <w:t>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Получателя.</w:t>
      </w:r>
    </w:p>
    <w:p>
      <w:pPr>
        <w:suppressAutoHyphens/>
        <w:ind w:right="-24"/>
        <w:jc w:val="both"/>
        <w:rPr>
          <w:rFonts w:eastAsia="Calibri" w:cs="Times New Roman"/>
          <w:szCs w:val="24"/>
        </w:rPr>
      </w:pPr>
      <w:r>
        <w:rPr>
          <w:rFonts w:eastAsia="Calibri" w:cs="Times New Roman"/>
          <w:szCs w:val="24"/>
        </w:rPr>
        <w:t>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 и Ленинградской области.</w:t>
      </w:r>
    </w:p>
    <w:p>
      <w:pPr>
        <w:jc w:val="both"/>
        <w:rPr>
          <w:rFonts w:ascii="Times New Roman CYR" w:eastAsia="Calibri" w:hAnsi="Times New Roman CYR" w:cs="Times New Roman CYR"/>
          <w:szCs w:val="24"/>
        </w:rPr>
      </w:pPr>
      <w:r>
        <w:rPr>
          <w:rFonts w:eastAsia="Calibri" w:cs="Times New Roman"/>
          <w:szCs w:val="24"/>
        </w:rPr>
        <w:t xml:space="preserve">4.8. </w:t>
      </w:r>
      <w:r>
        <w:rPr>
          <w:rFonts w:ascii="Times New Roman CYR" w:eastAsia="Calibri" w:hAnsi="Times New Roman CYR" w:cs="Times New Roman CYR"/>
          <w:szCs w:val="24"/>
        </w:rPr>
        <w:t xml:space="preserve">Давать справки Получателю по вопросам, связанным с изготовлением Изделия, </w:t>
      </w:r>
      <w:r>
        <w:rPr>
          <w:rFonts w:eastAsia="Calibri" w:cs="Times New Roman"/>
          <w:szCs w:val="24"/>
        </w:rPr>
        <w:t>а также осуществлять прием заявок на доставку Изделия по месту нахождения Получателя</w:t>
      </w:r>
      <w:r>
        <w:rPr>
          <w:rFonts w:ascii="Times New Roman CYR" w:eastAsia="Calibri" w:hAnsi="Times New Roman CYR" w:cs="Times New Roman CYR"/>
          <w:szCs w:val="24"/>
        </w:rPr>
        <w:t xml:space="preserve"> в часы работы пункта (пунктов) приема Получателей.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 но не ранее 01.01.2024.</w:t>
      </w:r>
    </w:p>
    <w:p>
      <w:pPr>
        <w:jc w:val="both"/>
        <w:rPr>
          <w:rFonts w:eastAsia="Calibri" w:cs="Times New Roman"/>
          <w:szCs w:val="24"/>
        </w:rPr>
      </w:pPr>
      <w:r>
        <w:rPr>
          <w:rFonts w:ascii="Times New Roman CYR" w:eastAsia="Calibri" w:hAnsi="Times New Roman CYR" w:cs="Times New Roman CYR"/>
          <w:szCs w:val="24"/>
        </w:rPr>
        <w:t>Звонки с городских номеров Санкт-Петербурга и Ленинградской области должны быть бесплатными для Получателя, а именно: не допускается взимание дополнительной оплаты телефонных</w:t>
      </w:r>
      <w:r>
        <w:rPr>
          <w:rFonts w:eastAsia="Calibri"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Исполнителем. </w:t>
      </w:r>
    </w:p>
    <w:p>
      <w:pPr>
        <w:jc w:val="both"/>
        <w:rPr>
          <w:rFonts w:eastAsia="Calibri" w:cs="Times New Roman"/>
          <w:szCs w:val="24"/>
        </w:rPr>
      </w:pPr>
      <w:r>
        <w:rPr>
          <w:rFonts w:eastAsia="Calibri" w:cs="Times New Roman"/>
          <w:szCs w:val="24"/>
        </w:rPr>
        <w:t>4.9.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Получателей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pPr>
        <w:jc w:val="both"/>
        <w:rPr>
          <w:rFonts w:eastAsia="Calibri" w:cs="Times New Roman"/>
          <w:szCs w:val="24"/>
        </w:rPr>
      </w:pPr>
      <w:r>
        <w:rPr>
          <w:rFonts w:eastAsia="Calibri" w:cs="Times New Roman"/>
          <w:szCs w:val="24"/>
        </w:rPr>
        <w:t xml:space="preserve">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w:t>
      </w:r>
      <w:r>
        <w:rPr>
          <w:rFonts w:eastAsia="Calibri" w:cs="Times New Roman"/>
          <w:szCs w:val="24"/>
        </w:rPr>
        <w:lastRenderedPageBreak/>
        <w:t>Изделия Получателю не позднее дня, следующего за днем доставки, согласованным с Получателем.</w:t>
      </w:r>
    </w:p>
    <w:p>
      <w:pPr>
        <w:ind w:right="-24"/>
        <w:jc w:val="both"/>
        <w:rPr>
          <w:rFonts w:eastAsia="Calibri" w:cs="Times New Roman"/>
          <w:szCs w:val="24"/>
        </w:rPr>
      </w:pPr>
      <w:r>
        <w:rPr>
          <w:rFonts w:eastAsia="Calibri" w:cs="Times New Roman"/>
          <w:szCs w:val="24"/>
        </w:rPr>
        <w:t xml:space="preserve">4.10.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Pr>
            <w:rFonts w:eastAsia="Calibri" w:cs="Times New Roman"/>
            <w:szCs w:val="24"/>
          </w:rPr>
          <w:t>osp@ro78.fss.ru</w:t>
        </w:r>
      </w:hyperlink>
      <w:r>
        <w:rPr>
          <w:rFonts w:eastAsia="Calibri" w:cs="Times New Roman"/>
          <w:szCs w:val="24"/>
        </w:rPr>
        <w:t xml:space="preserve">, </w:t>
      </w:r>
      <w:hyperlink r:id="rId6" w:history="1">
        <w:r>
          <w:rPr>
            <w:rFonts w:eastAsia="Calibri" w:cs="Times New Roman"/>
            <w:szCs w:val="24"/>
          </w:rPr>
          <w:t>tsrfil31@ro78.fss.ru</w:t>
        </w:r>
      </w:hyperlink>
      <w:r>
        <w:rPr>
          <w:rFonts w:eastAsia="Calibri" w:cs="Times New Roman"/>
          <w:szCs w:val="24"/>
        </w:rPr>
        <w:t>.</w:t>
      </w:r>
    </w:p>
    <w:p>
      <w:pPr>
        <w:autoSpaceDE w:val="0"/>
        <w:autoSpaceDN w:val="0"/>
        <w:adjustRightInd w:val="0"/>
        <w:jc w:val="both"/>
        <w:rPr>
          <w:rFonts w:eastAsia="Calibri" w:cs="Times New Roman"/>
          <w:szCs w:val="24"/>
        </w:rPr>
      </w:pPr>
      <w:r>
        <w:rPr>
          <w:rFonts w:eastAsia="Calibri" w:cs="Times New Roman"/>
          <w:szCs w:val="24"/>
        </w:rPr>
        <w:t xml:space="preserve">4.11. В случае привлечения к исполнению контракта соисполнителя в срок не позднее 1 (одного) рабочего дня с даты заключения государственного контракта предоставить Заказчику данные о соисполнителе: </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номер контактного телефона;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адрес электронной почты;</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contextualSpacing/>
        <w:jc w:val="both"/>
        <w:rPr>
          <w:rFonts w:eastAsia="Calibri" w:cs="Times New Roman"/>
          <w:szCs w:val="24"/>
          <w:lang w:eastAsia="en-US"/>
        </w:rPr>
      </w:pPr>
      <w:r>
        <w:rPr>
          <w:rFonts w:eastAsia="Calibri" w:cs="Times New Roman"/>
          <w:szCs w:val="24"/>
          <w:lang w:eastAsia="en-US"/>
        </w:rPr>
        <w:t>перечень операций, выполняемых соисполнителем в рамках государственного контракта;</w:t>
      </w:r>
    </w:p>
    <w:p>
      <w:pPr>
        <w:numPr>
          <w:ilvl w:val="0"/>
          <w:numId w:val="1"/>
        </w:numPr>
        <w:autoSpaceDE w:val="0"/>
        <w:autoSpaceDN w:val="0"/>
        <w:adjustRightInd w:val="0"/>
        <w:contextualSpacing/>
        <w:jc w:val="both"/>
        <w:rPr>
          <w:rFonts w:ascii="Calibri" w:eastAsia="Calibri" w:hAnsi="Calibri" w:cs="Times New Roman"/>
          <w:szCs w:val="24"/>
          <w:lang w:eastAsia="en-US"/>
        </w:rPr>
      </w:pPr>
      <w:r>
        <w:rPr>
          <w:rFonts w:eastAsia="Calibri" w:cs="Times New Roman"/>
          <w:szCs w:val="24"/>
          <w:lang w:eastAsia="en-US"/>
        </w:rPr>
        <w:t xml:space="preserve">срок </w:t>
      </w:r>
      <w:proofErr w:type="spellStart"/>
      <w:r>
        <w:rPr>
          <w:rFonts w:eastAsia="Calibri" w:cs="Times New Roman"/>
          <w:szCs w:val="24"/>
          <w:lang w:eastAsia="en-US"/>
        </w:rPr>
        <w:t>соисполнительства</w:t>
      </w:r>
      <w:proofErr w:type="spellEnd"/>
      <w:r>
        <w:rPr>
          <w:rFonts w:eastAsia="Calibri" w:cs="Times New Roman"/>
          <w:szCs w:val="24"/>
          <w:lang w:eastAsia="en-US"/>
        </w:rPr>
        <w:t>.</w:t>
      </w:r>
    </w:p>
    <w:p>
      <w:pPr>
        <w:autoSpaceDE w:val="0"/>
        <w:autoSpaceDN w:val="0"/>
        <w:adjustRightInd w:val="0"/>
        <w:jc w:val="both"/>
        <w:rPr>
          <w:rFonts w:eastAsia="Calibri" w:cs="Times New Roman"/>
          <w:szCs w:val="24"/>
        </w:rPr>
      </w:pPr>
      <w:r>
        <w:rPr>
          <w:rFonts w:eastAsia="Calibri"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pPr>
        <w:autoSpaceDE w:val="0"/>
        <w:autoSpaceDN w:val="0"/>
        <w:adjustRightInd w:val="0"/>
        <w:jc w:val="both"/>
        <w:rPr>
          <w:rFonts w:eastAsia="Calibri" w:cs="Times New Roman"/>
          <w:szCs w:val="24"/>
        </w:rPr>
      </w:pPr>
      <w:r>
        <w:rPr>
          <w:rFonts w:eastAsia="Calibri"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pPr>
        <w:autoSpaceDE w:val="0"/>
        <w:autoSpaceDN w:val="0"/>
        <w:adjustRightInd w:val="0"/>
        <w:jc w:val="both"/>
        <w:rPr>
          <w:rFonts w:eastAsia="Calibri" w:cs="Times New Roman"/>
          <w:szCs w:val="24"/>
        </w:rPr>
      </w:pPr>
      <w:r>
        <w:rPr>
          <w:rFonts w:eastAsia="Calibri"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Pr>
            <w:rFonts w:eastAsia="Calibri" w:cs="Times New Roman"/>
            <w:szCs w:val="24"/>
            <w:lang w:val="en-US"/>
          </w:rPr>
          <w:t>osp</w:t>
        </w:r>
        <w:r>
          <w:rPr>
            <w:rFonts w:eastAsia="Calibri" w:cs="Times New Roman"/>
            <w:szCs w:val="24"/>
          </w:rPr>
          <w:t>@</w:t>
        </w:r>
        <w:r>
          <w:rPr>
            <w:rFonts w:eastAsia="Calibri" w:cs="Times New Roman"/>
            <w:szCs w:val="24"/>
            <w:lang w:val="en-US"/>
          </w:rPr>
          <w:t>ro</w:t>
        </w:r>
        <w:r>
          <w:rPr>
            <w:rFonts w:eastAsia="Calibri" w:cs="Times New Roman"/>
            <w:szCs w:val="24"/>
          </w:rPr>
          <w:t>78.</w:t>
        </w:r>
        <w:r>
          <w:rPr>
            <w:rFonts w:eastAsia="Calibri" w:cs="Times New Roman"/>
            <w:szCs w:val="24"/>
            <w:lang w:val="en-US"/>
          </w:rPr>
          <w:t>fss</w:t>
        </w:r>
        <w:r>
          <w:rPr>
            <w:rFonts w:eastAsia="Calibri" w:cs="Times New Roman"/>
            <w:szCs w:val="24"/>
          </w:rPr>
          <w:t>.</w:t>
        </w:r>
        <w:proofErr w:type="spellStart"/>
        <w:r>
          <w:rPr>
            <w:rFonts w:eastAsia="Calibri" w:cs="Times New Roman"/>
            <w:szCs w:val="24"/>
            <w:lang w:val="en-US"/>
          </w:rPr>
          <w:t>ru</w:t>
        </w:r>
        <w:proofErr w:type="spellEnd"/>
      </w:hyperlink>
      <w:r>
        <w:rPr>
          <w:rFonts w:eastAsia="Calibri" w:cs="Times New Roman"/>
          <w:szCs w:val="24"/>
        </w:rPr>
        <w:t xml:space="preserve">. </w:t>
      </w:r>
    </w:p>
    <w:p>
      <w:pPr>
        <w:ind w:right="9"/>
        <w:jc w:val="both"/>
        <w:rPr>
          <w:rFonts w:eastAsia="Calibri" w:cs="Times New Roman"/>
          <w:color w:val="000000"/>
          <w:szCs w:val="24"/>
        </w:rPr>
      </w:pPr>
      <w:r>
        <w:rPr>
          <w:rFonts w:eastAsia="Calibri" w:cs="Times New Roman"/>
          <w:szCs w:val="24"/>
        </w:rPr>
        <w:t xml:space="preserve">5. </w:t>
      </w:r>
      <w:r>
        <w:rPr>
          <w:rFonts w:eastAsia="Calibri" w:cs="Times New Roman"/>
          <w:color w:val="000000"/>
          <w:szCs w:val="24"/>
        </w:rPr>
        <w:t>Способ выдачи Изделий:</w:t>
      </w:r>
    </w:p>
    <w:p>
      <w:pPr>
        <w:ind w:right="9"/>
        <w:jc w:val="both"/>
        <w:rPr>
          <w:rFonts w:eastAsia="Calibri" w:cs="Times New Roman"/>
          <w:color w:val="000000"/>
          <w:szCs w:val="24"/>
        </w:rPr>
      </w:pPr>
      <w:r>
        <w:rPr>
          <w:rFonts w:eastAsia="Calibri" w:cs="Times New Roman"/>
          <w:color w:val="000000"/>
          <w:szCs w:val="24"/>
        </w:rPr>
        <w:t>5.1. Предоставлять Получателям право выбора способа получения Изделий:</w:t>
      </w:r>
    </w:p>
    <w:p>
      <w:pPr>
        <w:numPr>
          <w:ilvl w:val="0"/>
          <w:numId w:val="2"/>
        </w:numPr>
        <w:ind w:right="9"/>
        <w:jc w:val="both"/>
        <w:rPr>
          <w:rFonts w:eastAsia="Calibri" w:cs="Times New Roman"/>
          <w:color w:val="000000"/>
          <w:szCs w:val="24"/>
        </w:rPr>
      </w:pPr>
      <w:r>
        <w:rPr>
          <w:rFonts w:eastAsia="Calibri" w:cs="Times New Roman"/>
          <w:color w:val="000000"/>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pPr>
        <w:numPr>
          <w:ilvl w:val="0"/>
          <w:numId w:val="2"/>
        </w:numPr>
        <w:ind w:right="9"/>
        <w:jc w:val="both"/>
        <w:rPr>
          <w:rFonts w:eastAsia="Calibri" w:cs="Times New Roman"/>
          <w:color w:val="000000"/>
          <w:szCs w:val="24"/>
        </w:rPr>
      </w:pPr>
      <w:r>
        <w:rPr>
          <w:rFonts w:eastAsia="Calibri" w:cs="Times New Roman"/>
          <w:color w:val="000000"/>
          <w:szCs w:val="24"/>
        </w:rPr>
        <w:t>в пункте (пунктах) приема Получателей, организованных Исполнителем.</w:t>
      </w:r>
    </w:p>
    <w:p>
      <w:pPr>
        <w:ind w:right="9"/>
        <w:jc w:val="both"/>
        <w:rPr>
          <w:rFonts w:eastAsia="Calibri" w:cs="Times New Roman"/>
          <w:color w:val="000000"/>
          <w:szCs w:val="24"/>
        </w:rPr>
      </w:pPr>
      <w:r>
        <w:rPr>
          <w:rFonts w:eastAsia="Calibri" w:cs="Times New Roman"/>
          <w:color w:val="000000"/>
          <w:szCs w:val="24"/>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numPr>
          <w:ilvl w:val="1"/>
          <w:numId w:val="5"/>
        </w:numPr>
        <w:autoSpaceDE w:val="0"/>
        <w:autoSpaceDN w:val="0"/>
        <w:adjustRightInd w:val="0"/>
        <w:ind w:left="0" w:firstLine="0"/>
        <w:contextualSpacing/>
        <w:jc w:val="both"/>
        <w:rPr>
          <w:rFonts w:eastAsia="Calibri" w:cs="Times New Roman"/>
          <w:color w:val="000000"/>
          <w:szCs w:val="24"/>
          <w:lang w:eastAsia="en-US"/>
        </w:rPr>
      </w:pPr>
      <w:r>
        <w:rPr>
          <w:rFonts w:eastAsia="Calibri" w:cs="Times New Roman"/>
          <w:color w:val="000000"/>
          <w:szCs w:val="24"/>
          <w:lang w:eastAsia="en-US"/>
        </w:rPr>
        <w:t xml:space="preserve">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в г. Санкт-Петербург, которые должны действовать до конца выдачи Изделия, согласно условиям Технического задания. Исполнитель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w:t>
      </w:r>
      <w:r>
        <w:rPr>
          <w:rFonts w:eastAsia="Calibri" w:cs="Times New Roman"/>
          <w:color w:val="000000"/>
          <w:szCs w:val="24"/>
          <w:lang w:eastAsia="en-US"/>
        </w:rPr>
        <w:lastRenderedPageBreak/>
        <w:t>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Не позднее </w:t>
      </w:r>
      <w:r>
        <w:rPr>
          <w:rFonts w:eastAsia="Calibri" w:cs="Times New Roman"/>
          <w:szCs w:val="24"/>
        </w:rPr>
        <w:t>1 (одного) рабочего дня с даты заключения</w:t>
      </w:r>
      <w:r>
        <w:rPr>
          <w:rFonts w:eastAsia="Calibri" w:cs="Times New Roman"/>
          <w:color w:val="000000"/>
          <w:szCs w:val="24"/>
          <w:lang w:eastAsia="en-US"/>
        </w:rPr>
        <w:t xml:space="preserve">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pPr>
        <w:ind w:right="9"/>
        <w:jc w:val="both"/>
        <w:rPr>
          <w:rFonts w:eastAsia="Calibri" w:cs="Times New Roman"/>
          <w:color w:val="000000"/>
          <w:szCs w:val="24"/>
        </w:rPr>
      </w:pPr>
      <w:r>
        <w:rPr>
          <w:rFonts w:eastAsia="Calibri" w:cs="Times New Roman"/>
          <w:color w:val="000000"/>
          <w:szCs w:val="24"/>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ind w:right="9"/>
        <w:jc w:val="both"/>
        <w:rPr>
          <w:rFonts w:eastAsia="Calibri" w:cs="Times New Roman"/>
          <w:color w:val="000000"/>
          <w:szCs w:val="24"/>
        </w:rPr>
      </w:pPr>
      <w:r>
        <w:rPr>
          <w:rFonts w:eastAsia="Calibri" w:cs="Times New Roman"/>
          <w:color w:val="000000"/>
          <w:szCs w:val="24"/>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pPr>
        <w:suppressAutoHyphens/>
        <w:jc w:val="both"/>
        <w:rPr>
          <w:rFonts w:eastAsia="Calibri" w:cs="Times New Roman"/>
          <w:szCs w:val="24"/>
        </w:rPr>
      </w:pPr>
      <w:r>
        <w:rPr>
          <w:rFonts w:eastAsia="Calibri" w:cs="Times New Roman"/>
          <w:b/>
          <w:szCs w:val="24"/>
        </w:rPr>
        <w:t>Входная группа</w:t>
      </w:r>
      <w:r>
        <w:rPr>
          <w:rFonts w:eastAsia="Calibri" w:cs="Times New Roman"/>
          <w:szCs w:val="24"/>
        </w:rPr>
        <w:t xml:space="preserve"> </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szCs w:val="24"/>
        </w:rPr>
      </w:pPr>
      <w:r>
        <w:rPr>
          <w:rFonts w:eastAsia="Calibri" w:cs="Times New Roman"/>
          <w:szCs w:val="24"/>
        </w:rPr>
        <w:t>- Пандус с поручнями (в соответствии с п. 5.1.14 – п. 5.1.16; п. 6.1.2 – п. 6.1.4; п. 6.2.9 – п. 6.2.11 СП 59.13330.2020);</w:t>
      </w:r>
    </w:p>
    <w:p>
      <w:pPr>
        <w:suppressAutoHyphens/>
        <w:jc w:val="both"/>
        <w:rPr>
          <w:rFonts w:eastAsia="Calibri" w:cs="Times New Roman"/>
          <w:szCs w:val="24"/>
        </w:rPr>
      </w:pPr>
      <w:r>
        <w:rPr>
          <w:rFonts w:eastAsia="Calibri"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pPr>
        <w:suppressAutoHyphens/>
        <w:jc w:val="both"/>
        <w:rPr>
          <w:rFonts w:eastAsia="Calibri" w:cs="Times New Roman"/>
          <w:szCs w:val="24"/>
        </w:rPr>
      </w:pPr>
      <w:r>
        <w:rPr>
          <w:rFonts w:eastAsia="Calibri" w:cs="Times New Roman"/>
          <w:szCs w:val="24"/>
        </w:rPr>
        <w:t>- Лестница с поручнями;</w:t>
      </w:r>
    </w:p>
    <w:p>
      <w:pPr>
        <w:autoSpaceDE w:val="0"/>
        <w:autoSpaceDN w:val="0"/>
        <w:adjustRightInd w:val="0"/>
        <w:jc w:val="both"/>
        <w:rPr>
          <w:rFonts w:eastAsia="Calibri" w:cs="Times New Roman"/>
          <w:szCs w:val="24"/>
        </w:rPr>
      </w:pPr>
      <w:r>
        <w:rPr>
          <w:rFonts w:eastAsia="Calibri"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rPr>
          <w:rFonts w:eastAsia="Calibri" w:cs="Times New Roman"/>
          <w:szCs w:val="24"/>
        </w:rPr>
      </w:pPr>
      <w:r>
        <w:rPr>
          <w:rFonts w:eastAsia="Calibri"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lastRenderedPageBreak/>
        <w:t>Применение для инвалидов вместо пандусов аппарелей не допускается на объекте (в соответствии с п. 6.1.2 СП 59.13330.2020).</w:t>
      </w:r>
    </w:p>
    <w:p>
      <w:pPr>
        <w:suppressAutoHyphens/>
        <w:jc w:val="both"/>
        <w:rPr>
          <w:rFonts w:eastAsia="Calibri" w:cs="Times New Roman"/>
          <w:color w:val="000000"/>
          <w:szCs w:val="24"/>
        </w:rPr>
      </w:pPr>
      <w:r>
        <w:rPr>
          <w:rFonts w:eastAsia="Calibri" w:cs="Times New Roman"/>
          <w:color w:val="000000"/>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Pr>
          <w:rFonts w:eastAsia="Calibri" w:cs="Times New Roman"/>
          <w:szCs w:val="24"/>
        </w:rPr>
        <w:t xml:space="preserve">в соответствии с </w:t>
      </w:r>
      <w:r>
        <w:rPr>
          <w:rFonts w:eastAsia="Calibri" w:cs="Times New Roman"/>
          <w:color w:val="000000"/>
          <w:szCs w:val="24"/>
        </w:rPr>
        <w:t>п. 6.1.5, п. 6.1.6, п. 6.2.4 СП 59.13330.2020).</w:t>
      </w:r>
    </w:p>
    <w:p>
      <w:pPr>
        <w:suppressAutoHyphens/>
        <w:jc w:val="both"/>
        <w:rPr>
          <w:rFonts w:eastAsia="Calibri" w:cs="Times New Roman"/>
          <w:szCs w:val="24"/>
        </w:rPr>
      </w:pPr>
      <w:r>
        <w:rPr>
          <w:rFonts w:eastAsia="Calibri" w:cs="Times New Roman"/>
          <w:szCs w:val="24"/>
        </w:rPr>
        <w:t>- Тактильно-контрастные указатели;</w:t>
      </w:r>
    </w:p>
    <w:p>
      <w:pPr>
        <w:suppressAutoHyphens/>
        <w:jc w:val="both"/>
        <w:rPr>
          <w:rFonts w:eastAsia="Calibri" w:cs="Times New Roman"/>
          <w:szCs w:val="24"/>
        </w:rPr>
      </w:pPr>
      <w:r>
        <w:rPr>
          <w:rFonts w:eastAsia="Calibri"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rFonts w:eastAsia="Calibri" w:cs="Times New Roman"/>
          <w:b/>
          <w:szCs w:val="24"/>
        </w:rPr>
      </w:pPr>
      <w:r>
        <w:rPr>
          <w:rFonts w:eastAsia="Calibri" w:cs="Times New Roman"/>
          <w:b/>
          <w:szCs w:val="24"/>
        </w:rPr>
        <w:t xml:space="preserve">Пути движения внутри пункта (пунктов) </w:t>
      </w:r>
      <w:r>
        <w:rPr>
          <w:rFonts w:eastAsia="Calibri" w:cs="Times New Roman"/>
          <w:b/>
          <w:bCs/>
          <w:color w:val="000000"/>
          <w:szCs w:val="24"/>
        </w:rPr>
        <w:t>приема Получателей</w:t>
      </w:r>
    </w:p>
    <w:p>
      <w:pPr>
        <w:suppressAutoHyphens/>
        <w:jc w:val="both"/>
        <w:rPr>
          <w:rFonts w:eastAsia="Calibri" w:cs="Times New Roman"/>
          <w:szCs w:val="24"/>
        </w:rPr>
      </w:pPr>
      <w:r>
        <w:rPr>
          <w:rFonts w:eastAsia="Calibri" w:cs="Times New Roman"/>
          <w:szCs w:val="24"/>
        </w:rPr>
        <w:t>При перепадах высот Исполнитель должен учитывать наличие следующих элементов:</w:t>
      </w:r>
    </w:p>
    <w:p>
      <w:pPr>
        <w:suppressAutoHyphens/>
        <w:jc w:val="both"/>
        <w:rPr>
          <w:rFonts w:eastAsia="Calibri" w:cs="Times New Roman"/>
          <w:b/>
          <w:szCs w:val="24"/>
        </w:rPr>
      </w:pPr>
      <w:r>
        <w:rPr>
          <w:rFonts w:eastAsia="Calibri" w:cs="Times New Roman"/>
          <w:szCs w:val="24"/>
        </w:rPr>
        <w:t>- Лифт, подъемная платформа, эскалатор (в соответствии с п. 6.2.13 – п. 6.2.18 СП 59.13330.2020).</w:t>
      </w:r>
      <w:r>
        <w:rPr>
          <w:rFonts w:eastAsia="Calibri" w:cs="Times New Roman"/>
          <w:b/>
          <w:szCs w:val="24"/>
        </w:rPr>
        <w:t xml:space="preserve"> </w:t>
      </w:r>
    </w:p>
    <w:p>
      <w:pPr>
        <w:suppressAutoHyphens/>
        <w:jc w:val="both"/>
        <w:rPr>
          <w:rFonts w:eastAsia="Calibri" w:cs="Times New Roman"/>
          <w:szCs w:val="24"/>
        </w:rPr>
      </w:pPr>
      <w:r>
        <w:rPr>
          <w:rFonts w:eastAsia="Calibri" w:cs="Times New Roman"/>
          <w:szCs w:val="24"/>
        </w:rPr>
        <w:t>Лифт должен иметь габариты не менее 1100х1400 мм (ширина х глубина).</w:t>
      </w:r>
    </w:p>
    <w:p>
      <w:pPr>
        <w:suppressAutoHyphens/>
        <w:jc w:val="both"/>
        <w:rPr>
          <w:rFonts w:eastAsia="Calibri" w:cs="Times New Roman"/>
          <w:b/>
          <w:szCs w:val="24"/>
        </w:rPr>
      </w:pPr>
      <w:r>
        <w:rPr>
          <w:rFonts w:eastAsia="Calibri"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Calibri" w:cs="Times New Roman"/>
          <w:szCs w:val="24"/>
        </w:rPr>
      </w:pPr>
      <w:r>
        <w:rPr>
          <w:rFonts w:eastAsia="Calibri" w:cs="Times New Roman"/>
          <w:szCs w:val="24"/>
        </w:rPr>
        <w:t>- Необходимо обеспечить зону досягаемости для посетителей в кресле-коляске в пределах, установленных в соответствии с п. 8.1.7 СП 59.133330.2020.</w:t>
      </w:r>
    </w:p>
    <w:p>
      <w:pPr>
        <w:suppressAutoHyphens/>
        <w:jc w:val="both"/>
        <w:rPr>
          <w:rFonts w:eastAsia="Calibri" w:cs="Times New Roman"/>
          <w:szCs w:val="24"/>
        </w:rPr>
      </w:pPr>
      <w:r>
        <w:rPr>
          <w:rFonts w:eastAsia="Calibri"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rPr>
          <w:rFonts w:eastAsia="Calibri" w:cs="Times New Roman"/>
          <w:szCs w:val="24"/>
        </w:rPr>
      </w:pPr>
      <w:r>
        <w:rPr>
          <w:rFonts w:eastAsia="Calibri"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rPr>
          <w:rFonts w:eastAsia="Calibri" w:cs="Times New Roman"/>
          <w:szCs w:val="24"/>
        </w:rPr>
      </w:pPr>
      <w:r>
        <w:rPr>
          <w:rFonts w:eastAsia="Calibri" w:cs="Times New Roman"/>
          <w:szCs w:val="24"/>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pPr>
        <w:suppressAutoHyphens/>
        <w:jc w:val="both"/>
        <w:rPr>
          <w:rFonts w:eastAsia="Calibri" w:cs="Times New Roman"/>
          <w:b/>
          <w:szCs w:val="24"/>
        </w:rPr>
      </w:pPr>
      <w:r>
        <w:rPr>
          <w:rFonts w:eastAsia="Calibri" w:cs="Times New Roman"/>
          <w:b/>
          <w:szCs w:val="24"/>
        </w:rPr>
        <w:t>Пути эвакуации</w:t>
      </w:r>
    </w:p>
    <w:p>
      <w:pPr>
        <w:suppressAutoHyphens/>
        <w:jc w:val="both"/>
        <w:rPr>
          <w:rFonts w:eastAsia="Calibri" w:cs="Times New Roman"/>
          <w:szCs w:val="24"/>
        </w:rPr>
      </w:pPr>
      <w:r>
        <w:rPr>
          <w:rFonts w:eastAsia="Calibri" w:cs="Times New Roman"/>
          <w:szCs w:val="24"/>
        </w:rPr>
        <w:t xml:space="preserve">В случае невозможности соблюдения положений </w:t>
      </w:r>
      <w:r>
        <w:rPr>
          <w:rFonts w:eastAsia="Calibri" w:cs="Times New Roman"/>
          <w:szCs w:val="24"/>
          <w:shd w:val="clear" w:color="auto" w:fill="FFFFFF"/>
        </w:rPr>
        <w:t xml:space="preserve">части 15 статьи 89 </w:t>
      </w:r>
      <w:hyperlink r:id="rId8" w:history="1">
        <w:r>
          <w:rPr>
            <w:rFonts w:eastAsia="Calibri" w:cs="Times New Roman"/>
            <w:spacing w:val="2"/>
            <w:szCs w:val="24"/>
          </w:rPr>
          <w:t>Федерального закона от 22.07.2008 №123-ФЗ «Технический регламент о требованиях пожарной безопасности</w:t>
        </w:r>
      </w:hyperlink>
      <w:r>
        <w:rPr>
          <w:rFonts w:eastAsia="Calibri"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pPr>
        <w:suppressAutoHyphens/>
        <w:jc w:val="both"/>
        <w:rPr>
          <w:rFonts w:eastAsia="Calibri" w:cs="Times New Roman"/>
          <w:szCs w:val="24"/>
        </w:rPr>
      </w:pPr>
      <w:r>
        <w:rPr>
          <w:rFonts w:eastAsia="Calibri" w:cs="Times New Roman"/>
          <w:szCs w:val="24"/>
        </w:rPr>
        <w:t>Пути эвакуации помещений пункта (пунктов) приема должны обеспечивать безопасность посетителей в соответствии с п. 6.2.19 - п. 6.2.32 СП 59.13330.2020.</w:t>
      </w:r>
    </w:p>
    <w:p>
      <w:pPr>
        <w:suppressAutoHyphens/>
        <w:jc w:val="both"/>
        <w:rPr>
          <w:rFonts w:eastAsia="Calibri" w:cs="Times New Roman"/>
          <w:szCs w:val="24"/>
        </w:rPr>
      </w:pPr>
      <w:r>
        <w:rPr>
          <w:rFonts w:eastAsia="Calibri" w:cs="Times New Roman"/>
          <w:szCs w:val="24"/>
        </w:rPr>
        <w:t>Обеспечить систему двухсторонней связи с диспетчером или дежурным (в соответствии с п. 6.5.8 СП 59.13330.2020).</w:t>
      </w:r>
    </w:p>
    <w:p>
      <w:pPr>
        <w:suppressAutoHyphens/>
        <w:jc w:val="both"/>
        <w:rPr>
          <w:rFonts w:eastAsia="Calibri" w:cs="Times New Roman"/>
          <w:szCs w:val="24"/>
        </w:rPr>
      </w:pPr>
      <w:r>
        <w:rPr>
          <w:rFonts w:eastAsia="Calibri" w:cs="Times New Roman"/>
          <w:szCs w:val="24"/>
        </w:rPr>
        <w:t xml:space="preserve">5.4. На территории пункта приема должны иметься туалетные комнаты, оборудованные для посещения Получателями в соответствии с п. 5.22. </w:t>
      </w:r>
      <w:r>
        <w:rPr>
          <w:rFonts w:eastAsia="Calibri"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Pr>
          <w:rFonts w:eastAsia="Calibri"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Pr>
          <w:rFonts w:eastAsia="Calibri" w:cs="Times New Roman"/>
          <w:spacing w:val="2"/>
          <w:szCs w:val="24"/>
          <w:shd w:val="clear" w:color="auto" w:fill="FFFFFF"/>
        </w:rPr>
        <w:t>6.3.9</w:t>
      </w:r>
      <w:r>
        <w:rPr>
          <w:rFonts w:eastAsia="Calibri" w:cs="Times New Roman"/>
          <w:szCs w:val="24"/>
        </w:rPr>
        <w:t xml:space="preserve"> СП 59.13330.2020.</w:t>
      </w:r>
    </w:p>
    <w:p>
      <w:pPr>
        <w:ind w:right="11"/>
        <w:jc w:val="both"/>
        <w:rPr>
          <w:rFonts w:eastAsia="Calibri" w:cs="Times New Roman"/>
          <w:color w:val="000000"/>
          <w:szCs w:val="24"/>
        </w:rPr>
      </w:pPr>
      <w:r>
        <w:rPr>
          <w:rFonts w:eastAsia="Calibri" w:cs="Times New Roman"/>
          <w:color w:val="000000"/>
          <w:szCs w:val="24"/>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pPr>
        <w:ind w:right="11"/>
        <w:jc w:val="both"/>
        <w:rPr>
          <w:rFonts w:eastAsia="Calibri" w:cs="Times New Roman"/>
          <w:color w:val="000000"/>
          <w:szCs w:val="24"/>
        </w:rPr>
      </w:pPr>
      <w:r>
        <w:rPr>
          <w:rFonts w:eastAsia="Calibri" w:cs="Times New Roman"/>
          <w:color w:val="000000"/>
          <w:szCs w:val="24"/>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Pr>
          <w:rFonts w:eastAsia="Calibri" w:cs="Times New Roman"/>
          <w:color w:val="000000"/>
          <w:szCs w:val="24"/>
        </w:rPr>
        <w:lastRenderedPageBreak/>
        <w:t xml:space="preserve">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ind w:right="11"/>
        <w:jc w:val="both"/>
        <w:rPr>
          <w:rFonts w:eastAsia="Calibri" w:cs="Times New Roman"/>
          <w:color w:val="000000"/>
          <w:szCs w:val="24"/>
        </w:rPr>
      </w:pPr>
      <w:r>
        <w:rPr>
          <w:rFonts w:eastAsia="Calibri" w:cs="Times New Roman"/>
          <w:color w:val="000000"/>
          <w:szCs w:val="24"/>
        </w:rPr>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pPr>
        <w:ind w:right="11"/>
        <w:jc w:val="both"/>
        <w:rPr>
          <w:rFonts w:eastAsia="Calibri" w:cs="Times New Roman"/>
          <w:color w:val="000000"/>
          <w:szCs w:val="24"/>
        </w:rPr>
      </w:pPr>
      <w:r>
        <w:rPr>
          <w:rFonts w:eastAsia="Calibri" w:cs="Times New Roman"/>
          <w:color w:val="000000"/>
          <w:szCs w:val="24"/>
        </w:rPr>
        <w:t>5.8.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3"/>
        </w:numPr>
        <w:ind w:right="11"/>
        <w:jc w:val="both"/>
        <w:rPr>
          <w:rFonts w:eastAsia="Calibri" w:cs="Times New Roman"/>
          <w:color w:val="000000"/>
          <w:szCs w:val="24"/>
        </w:rPr>
      </w:pPr>
      <w:r>
        <w:rPr>
          <w:rFonts w:eastAsia="Calibri" w:cs="Times New Roman"/>
          <w:color w:val="000000"/>
          <w:szCs w:val="24"/>
        </w:rPr>
        <w:t>возможность беспрепятственного входа в объекты и выхода из них;</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Calibri" w:cs="Times New Roman"/>
          <w:color w:val="000000"/>
          <w:szCs w:val="24"/>
        </w:rPr>
        <w:t>ассистивных</w:t>
      </w:r>
      <w:proofErr w:type="spellEnd"/>
      <w:r>
        <w:rPr>
          <w:rFonts w:eastAsia="Calibri" w:cs="Times New Roman"/>
          <w:color w:val="000000"/>
          <w:szCs w:val="24"/>
        </w:rPr>
        <w:t xml:space="preserve"> и вспомогательных технологий, а также сменного кресла-коляски;</w:t>
      </w:r>
    </w:p>
    <w:p>
      <w:pPr>
        <w:numPr>
          <w:ilvl w:val="0"/>
          <w:numId w:val="3"/>
        </w:numPr>
        <w:ind w:right="11"/>
        <w:jc w:val="both"/>
        <w:rPr>
          <w:rFonts w:eastAsia="Calibri" w:cs="Times New Roman"/>
          <w:color w:val="000000"/>
          <w:szCs w:val="24"/>
        </w:rPr>
      </w:pPr>
      <w:r>
        <w:rPr>
          <w:rFonts w:eastAsia="Calibri"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pPr>
        <w:numPr>
          <w:ilvl w:val="0"/>
          <w:numId w:val="3"/>
        </w:numPr>
        <w:ind w:right="11"/>
        <w:jc w:val="both"/>
        <w:rPr>
          <w:rFonts w:eastAsia="Calibri" w:cs="Times New Roman"/>
          <w:color w:val="000000"/>
          <w:szCs w:val="24"/>
        </w:rPr>
      </w:pPr>
      <w:r>
        <w:rPr>
          <w:rFonts w:eastAsia="Calibri"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pPr>
        <w:numPr>
          <w:ilvl w:val="0"/>
          <w:numId w:val="3"/>
        </w:numPr>
        <w:ind w:right="11"/>
        <w:jc w:val="both"/>
        <w:rPr>
          <w:rFonts w:eastAsia="Calibri" w:cs="Times New Roman"/>
          <w:color w:val="000000"/>
          <w:szCs w:val="24"/>
        </w:rPr>
      </w:pPr>
      <w:r>
        <w:rPr>
          <w:rFonts w:eastAsia="Calibri"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3"/>
        </w:numPr>
        <w:ind w:right="11"/>
        <w:jc w:val="both"/>
        <w:rPr>
          <w:rFonts w:eastAsia="Calibri" w:cs="Times New Roman"/>
          <w:color w:val="000000"/>
          <w:szCs w:val="24"/>
        </w:rPr>
      </w:pPr>
      <w:r>
        <w:rPr>
          <w:rFonts w:eastAsia="Calibri"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anchor="block_1000" w:history="1">
        <w:r>
          <w:rPr>
            <w:rFonts w:eastAsia="Calibri" w:cs="Times New Roman"/>
            <w:color w:val="000000"/>
            <w:szCs w:val="24"/>
          </w:rPr>
          <w:t>форме</w:t>
        </w:r>
      </w:hyperlink>
      <w:r>
        <w:rPr>
          <w:rFonts w:eastAsia="Calibri" w:cs="Times New Roman"/>
          <w:color w:val="000000"/>
          <w:szCs w:val="24"/>
        </w:rPr>
        <w:t xml:space="preserve"> и в </w:t>
      </w:r>
      <w:hyperlink r:id="rId10" w:anchor="block_2000" w:history="1">
        <w:r>
          <w:rPr>
            <w:rFonts w:eastAsia="Calibri" w:cs="Times New Roman"/>
            <w:color w:val="000000"/>
            <w:szCs w:val="24"/>
          </w:rPr>
          <w:t>порядке</w:t>
        </w:r>
      </w:hyperlink>
      <w:r>
        <w:rPr>
          <w:rFonts w:eastAsia="Calibri" w:cs="Times New Roman"/>
          <w:color w:val="000000"/>
          <w:szCs w:val="24"/>
        </w:rPr>
        <w:t xml:space="preserve">, утвержденных </w:t>
      </w:r>
      <w:hyperlink r:id="rId11" w:history="1">
        <w:r>
          <w:rPr>
            <w:rFonts w:eastAsia="Calibri" w:cs="Times New Roman"/>
            <w:color w:val="000000"/>
            <w:szCs w:val="24"/>
          </w:rPr>
          <w:t>приказом</w:t>
        </w:r>
      </w:hyperlink>
      <w:r>
        <w:rPr>
          <w:rFonts w:eastAsia="Calibri"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ind w:right="11"/>
        <w:jc w:val="both"/>
        <w:rPr>
          <w:rFonts w:eastAsia="Calibri" w:cs="Times New Roman"/>
          <w:color w:val="000000"/>
          <w:szCs w:val="24"/>
        </w:rPr>
      </w:pPr>
      <w:r>
        <w:rPr>
          <w:rFonts w:eastAsia="Calibri" w:cs="Times New Roman"/>
          <w:color w:val="000000"/>
          <w:szCs w:val="24"/>
        </w:rPr>
        <w:t xml:space="preserve">5.9 Пункты должны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часов. </w:t>
      </w:r>
    </w:p>
    <w:p>
      <w:pPr>
        <w:ind w:right="11"/>
        <w:jc w:val="both"/>
        <w:rPr>
          <w:rFonts w:eastAsia="Calibri" w:cs="Times New Roman"/>
          <w:color w:val="000000"/>
          <w:szCs w:val="24"/>
        </w:rPr>
      </w:pPr>
      <w:r>
        <w:rPr>
          <w:rFonts w:eastAsia="Calibri" w:cs="Times New Roman"/>
          <w:color w:val="000000"/>
          <w:szCs w:val="24"/>
        </w:rPr>
        <w:t>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час. не менее 6 (шести) дней неделю, по предварительной записи по номеру телефона, предоставленному Заказчику в срок не позднее 1 (одного) рабочего дня с даты заключения государственного контракта</w:t>
      </w:r>
      <w:r>
        <w:rPr>
          <w:rFonts w:eastAsia="Times New Roman" w:cs="Times New Roman"/>
          <w:szCs w:val="24"/>
        </w:rPr>
        <w:t>, но не ранее 01.01.2024</w:t>
      </w:r>
      <w:r>
        <w:rPr>
          <w:rFonts w:eastAsia="Calibri" w:cs="Times New Roman"/>
          <w:color w:val="000000"/>
          <w:szCs w:val="24"/>
        </w:rPr>
        <w:t>. Доставка осуществляется за счет средств Исполнителя.</w:t>
      </w:r>
    </w:p>
    <w:p>
      <w:pPr>
        <w:ind w:right="11"/>
        <w:jc w:val="both"/>
        <w:rPr>
          <w:rFonts w:eastAsia="Calibri" w:cs="Times New Roman"/>
          <w:color w:val="000000"/>
          <w:szCs w:val="24"/>
        </w:rPr>
      </w:pPr>
      <w:r>
        <w:rPr>
          <w:rFonts w:eastAsia="Calibri" w:cs="Times New Roman"/>
          <w:color w:val="000000"/>
          <w:szCs w:val="24"/>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pPr>
        <w:ind w:right="11"/>
        <w:jc w:val="both"/>
        <w:rPr>
          <w:rFonts w:eastAsia="Calibri" w:cs="Times New Roman"/>
          <w:color w:val="000000"/>
          <w:szCs w:val="24"/>
        </w:rPr>
      </w:pPr>
      <w:r>
        <w:rPr>
          <w:rFonts w:eastAsia="Calibri" w:cs="Times New Roman"/>
          <w:color w:val="000000"/>
          <w:szCs w:val="24"/>
        </w:rPr>
        <w:t>7.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pPr>
        <w:ind w:right="11"/>
        <w:jc w:val="both"/>
        <w:rPr>
          <w:rFonts w:eastAsia="Calibri" w:cs="Times New Roman"/>
          <w:color w:val="000000"/>
          <w:szCs w:val="24"/>
        </w:rPr>
      </w:pPr>
      <w:r>
        <w:rPr>
          <w:rFonts w:eastAsia="Calibri" w:cs="Times New Roman"/>
          <w:color w:val="000000"/>
          <w:szCs w:val="24"/>
        </w:rPr>
        <w:t xml:space="preserve">8.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Pr>
          <w:rFonts w:eastAsia="Calibri" w:cs="Times New Roman"/>
          <w:color w:val="000000"/>
          <w:szCs w:val="24"/>
        </w:rPr>
        <w:t>фотофиксацию</w:t>
      </w:r>
      <w:proofErr w:type="spellEnd"/>
      <w:r>
        <w:rPr>
          <w:rFonts w:eastAsia="Calibri" w:cs="Times New Roman"/>
          <w:color w:val="000000"/>
          <w:szCs w:val="24"/>
        </w:rPr>
        <w:t xml:space="preserve"> и/или видеозапись.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Times New Roman"/>
          <w:b/>
          <w:bCs/>
          <w:szCs w:val="24"/>
          <w:lang w:eastAsia="ar-SA"/>
        </w:rPr>
      </w:pPr>
      <w:r>
        <w:rPr>
          <w:rFonts w:eastAsia="Calibri" w:cs="Times New Roman"/>
          <w:color w:val="000000"/>
          <w:szCs w:val="24"/>
          <w:lang w:eastAsia="ar-SA"/>
        </w:rPr>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w:t>
      </w:r>
      <w:r>
        <w:rPr>
          <w:rFonts w:eastAsia="Calibri" w:cs="Times New Roman"/>
          <w:color w:val="000000"/>
          <w:szCs w:val="24"/>
          <w:lang w:eastAsia="ar-SA"/>
        </w:rPr>
        <w:lastRenderedPageBreak/>
        <w:t xml:space="preserve">сопроводительным письмом с приложением и в электронном виде по </w:t>
      </w:r>
      <w:r>
        <w:rPr>
          <w:rFonts w:eastAsia="Calibri" w:cs="Times New Roman"/>
          <w:szCs w:val="24"/>
          <w:lang w:eastAsia="ar-SA"/>
        </w:rPr>
        <w:t xml:space="preserve">адресу </w:t>
      </w:r>
      <w:hyperlink r:id="rId12" w:history="1">
        <w:r>
          <w:rPr>
            <w:rFonts w:eastAsia="Calibri" w:cs="Times New Roman"/>
            <w:szCs w:val="24"/>
            <w:lang w:eastAsia="ar-SA"/>
          </w:rPr>
          <w:t>osp@ro78.fss.ru</w:t>
        </w:r>
      </w:hyperlink>
      <w:r>
        <w:rPr>
          <w:rFonts w:eastAsia="Calibri" w:cs="Times New Roman"/>
          <w:szCs w:val="24"/>
          <w:lang w:eastAsia="ar-SA"/>
        </w:rPr>
        <w:t xml:space="preserve">, </w:t>
      </w:r>
      <w:hyperlink r:id="rId13" w:history="1">
        <w:r>
          <w:rPr>
            <w:rFonts w:eastAsia="Calibri" w:cs="Times New Roman"/>
            <w:szCs w:val="24"/>
            <w:lang w:eastAsia="ar-SA"/>
          </w:rPr>
          <w:t>tsrfil31@ro78.fss.ru</w:t>
        </w:r>
      </w:hyperlink>
      <w:r>
        <w:rPr>
          <w:rFonts w:eastAsia="Calibri" w:cs="Times New Roman"/>
          <w:i/>
          <w:szCs w:val="24"/>
          <w:lang w:eastAsia="ar-SA"/>
        </w:rPr>
        <w:t>.</w:t>
      </w:r>
    </w:p>
    <w:p>
      <w:pPr>
        <w:widowControl w:val="0"/>
        <w:ind w:right="-24"/>
        <w:jc w:val="center"/>
        <w:rPr>
          <w:rFonts w:eastAsia="Times New Roman" w:cs="Times New Roman"/>
          <w:b/>
          <w:szCs w:val="26"/>
        </w:rPr>
      </w:pPr>
    </w:p>
    <w:p/>
    <w:sectPr>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13723E8F"/>
    <w:multiLevelType w:val="multilevel"/>
    <w:tmpl w:val="6520E2C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9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824" w:hanging="1080"/>
      </w:pPr>
      <w:rPr>
        <w:rFonts w:hint="default"/>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2">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FE9FC4-4522-423B-B932-942D4AD9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mailto:tsrfil31@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mailto:osp@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 TargetMode="External"/><Relationship Id="rId5" Type="http://schemas.openxmlformats.org/officeDocument/2006/relationships/hyperlink" Target="mailto:osp@ro78.fss.ru" TargetMode="External"/><Relationship Id="rId15" Type="http://schemas.openxmlformats.org/officeDocument/2006/relationships/theme" Target="theme/theme1.xml"/><Relationship Id="rId10" Type="http://schemas.openxmlformats.org/officeDocument/2006/relationships/hyperlink" Target="http://base.garant.ru/71145140/f7ee959fd36b5699076b35abf4f52c5c/" TargetMode="External"/><Relationship Id="rId4" Type="http://schemas.openxmlformats.org/officeDocument/2006/relationships/webSettings" Target="webSettings.xml"/><Relationship Id="rId9" Type="http://schemas.openxmlformats.org/officeDocument/2006/relationships/hyperlink" Target="http://base.garant.ru/71145140/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7095</Words>
  <Characters>40443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8</cp:revision>
  <dcterms:created xsi:type="dcterms:W3CDTF">2023-11-23T07:13:00Z</dcterms:created>
  <dcterms:modified xsi:type="dcterms:W3CDTF">2024-02-06T07:52:00Z</dcterms:modified>
</cp:coreProperties>
</file>