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DF3" w:rsidRPr="00294DCC" w:rsidRDefault="009C0A1A" w:rsidP="00C86DF3">
      <w:pPr>
        <w:autoSpaceDE w:val="0"/>
        <w:jc w:val="center"/>
        <w:rPr>
          <w:b/>
          <w:bCs/>
        </w:rPr>
      </w:pPr>
      <w:r w:rsidRPr="00294DCC">
        <w:rPr>
          <w:b/>
          <w:bCs/>
        </w:rPr>
        <w:t>Описание объекта закупки</w:t>
      </w:r>
    </w:p>
    <w:p w:rsidR="00294DCC" w:rsidRPr="00294DCC" w:rsidRDefault="00294DCC" w:rsidP="00294DCC">
      <w:pPr>
        <w:rPr>
          <w:b/>
        </w:rPr>
      </w:pPr>
      <w:r w:rsidRPr="00294DCC">
        <w:rPr>
          <w:b/>
        </w:rPr>
        <w:t>Требования к срокам и месту выполнения работ:</w:t>
      </w:r>
    </w:p>
    <w:p w:rsidR="00294DCC" w:rsidRPr="00294DCC" w:rsidRDefault="00294DCC" w:rsidP="00294DCC">
      <w:pPr>
        <w:jc w:val="both"/>
      </w:pPr>
      <w:proofErr w:type="gramStart"/>
      <w:r w:rsidRPr="00294DCC">
        <w:rPr>
          <w:b/>
        </w:rPr>
        <w:t>Сроки выполнения работ:</w:t>
      </w:r>
      <w:r w:rsidRPr="00294DCC">
        <w:t xml:space="preserve"> </w:t>
      </w:r>
      <w:r>
        <w:t>и</w:t>
      </w:r>
      <w:r w:rsidRPr="00F2469B">
        <w:t>зготовить и передать Получателю (в случае, если доставка Изделия Получателю будет осуществляться службой доставки (почтовым отправлением) - передать в службу доставки (организацию почтовой свя</w:t>
      </w:r>
      <w:r>
        <w:t xml:space="preserve">зи) результат работ в течение 28 </w:t>
      </w:r>
      <w:r w:rsidRPr="00F2469B">
        <w:t xml:space="preserve">(Двадцати </w:t>
      </w:r>
      <w:r>
        <w:t>восьми</w:t>
      </w:r>
      <w:r w:rsidRPr="00F2469B">
        <w:t>) дней с даты обращения Получателя к Исполнителю с направлением, выданным Заказчиком</w:t>
      </w:r>
      <w:r w:rsidRPr="00294DCC">
        <w:t>.</w:t>
      </w:r>
      <w:proofErr w:type="gramEnd"/>
    </w:p>
    <w:p w:rsidR="00294DCC" w:rsidRPr="00294DCC" w:rsidRDefault="00294DCC" w:rsidP="00294DCC">
      <w:pPr>
        <w:jc w:val="both"/>
      </w:pPr>
      <w:r w:rsidRPr="00294DCC">
        <w:rPr>
          <w:b/>
        </w:rPr>
        <w:t>Срок исполнения контракта:</w:t>
      </w:r>
      <w:r w:rsidRPr="00294DCC">
        <w:t xml:space="preserve"> </w:t>
      </w:r>
      <w:r w:rsidRPr="00E0144F">
        <w:t xml:space="preserve">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и действует до </w:t>
      </w:r>
      <w:r>
        <w:t>30</w:t>
      </w:r>
      <w:r w:rsidRPr="00E0144F">
        <w:t>.</w:t>
      </w:r>
      <w:r>
        <w:t>08</w:t>
      </w:r>
      <w:r w:rsidRPr="00E0144F">
        <w:t>.202</w:t>
      </w:r>
      <w:r>
        <w:t>4</w:t>
      </w:r>
      <w:r w:rsidRPr="00E0144F">
        <w:t xml:space="preserve"> года. Окончание срока действия Контракта не влечет прекращения неисполненных обязатель</w:t>
      </w:r>
      <w:proofErr w:type="gramStart"/>
      <w:r w:rsidRPr="00E0144F">
        <w:t>ств Ст</w:t>
      </w:r>
      <w:proofErr w:type="gramEnd"/>
      <w:r w:rsidRPr="00E0144F">
        <w:t>орон по Контракту, в том числе гарантийных обязательств Исполнителя</w:t>
      </w:r>
      <w:r>
        <w:t>.</w:t>
      </w:r>
    </w:p>
    <w:p w:rsidR="00294DCC" w:rsidRPr="00294DCC" w:rsidRDefault="00294DCC" w:rsidP="00294DCC">
      <w:pPr>
        <w:jc w:val="both"/>
        <w:rPr>
          <w:color w:val="000000"/>
          <w:spacing w:val="-4"/>
        </w:rPr>
      </w:pPr>
      <w:proofErr w:type="gramStart"/>
      <w:r w:rsidRPr="00294DCC">
        <w:rPr>
          <w:b/>
          <w:bCs/>
          <w:color w:val="000000"/>
          <w:spacing w:val="-4"/>
        </w:rPr>
        <w:t xml:space="preserve">Место выполнения работ: </w:t>
      </w:r>
      <w:r w:rsidRPr="006019EA">
        <w:t>снятие м</w:t>
      </w:r>
      <w:r>
        <w:t xml:space="preserve">ерок, выдача результата работы </w:t>
      </w:r>
      <w:r w:rsidRPr="006019EA">
        <w:t xml:space="preserve">и другие виды работ, требующие присутствие получателя, производятся в специализированных помещениях </w:t>
      </w:r>
      <w:r>
        <w:t xml:space="preserve">            </w:t>
      </w:r>
      <w:r w:rsidRPr="006019EA">
        <w:t>г. Архангельска, в соответствии с приказом Минтруда России от 30.07.2015г.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место</w:t>
      </w:r>
      <w:proofErr w:type="gramEnd"/>
      <w:r w:rsidRPr="006019EA">
        <w:t xml:space="preserve"> выполнения иных работ определяется Исполнителем самостоятельно.</w:t>
      </w:r>
      <w:r w:rsidRPr="00294DCC">
        <w:rPr>
          <w:color w:val="000000"/>
          <w:spacing w:val="-4"/>
        </w:rPr>
        <w:t xml:space="preserve"> </w:t>
      </w:r>
    </w:p>
    <w:p w:rsidR="00294DCC" w:rsidRPr="00294DCC" w:rsidRDefault="00294DCC" w:rsidP="00294DCC">
      <w:pPr>
        <w:jc w:val="both"/>
        <w:rPr>
          <w:b/>
          <w:lang w:eastAsia="ru-RU"/>
        </w:rPr>
      </w:pPr>
      <w:r w:rsidRPr="00294DCC">
        <w:rPr>
          <w:b/>
          <w:lang w:eastAsia="ru-RU"/>
        </w:rPr>
        <w:t xml:space="preserve">Место и порядок передачи изделия получателю:   </w:t>
      </w:r>
    </w:p>
    <w:p w:rsidR="00294DCC" w:rsidRPr="00294DCC" w:rsidRDefault="00294DCC" w:rsidP="00294DCC">
      <w:pPr>
        <w:jc w:val="both"/>
        <w:rPr>
          <w:lang w:eastAsia="ru-RU"/>
        </w:rPr>
      </w:pPr>
      <w:r w:rsidRPr="00294DCC">
        <w:rPr>
          <w:lang w:eastAsia="ru-RU"/>
        </w:rPr>
        <w:t xml:space="preserve">В </w:t>
      </w:r>
      <w:proofErr w:type="gramStart"/>
      <w:r w:rsidRPr="00294DCC">
        <w:rPr>
          <w:lang w:eastAsia="ru-RU"/>
        </w:rPr>
        <w:t>случае</w:t>
      </w:r>
      <w:proofErr w:type="gramEnd"/>
      <w:r w:rsidRPr="00294DCC">
        <w:rPr>
          <w:lang w:eastAsia="ru-RU"/>
        </w:rPr>
        <w:t xml:space="preserve"> необходимости - отправить изготовленное изделие Получателю, указанному в Направлении, по мест</w:t>
      </w:r>
      <w:bookmarkStart w:id="0" w:name="_GoBack"/>
      <w:bookmarkEnd w:id="0"/>
      <w:r w:rsidRPr="00294DCC">
        <w:rPr>
          <w:lang w:eastAsia="ru-RU"/>
        </w:rPr>
        <w:t xml:space="preserve">у его жительства.   </w:t>
      </w:r>
    </w:p>
    <w:p w:rsidR="00294DCC" w:rsidRPr="00294DCC" w:rsidRDefault="00294DCC" w:rsidP="00294DCC">
      <w:pPr>
        <w:jc w:val="both"/>
        <w:rPr>
          <w:lang w:eastAsia="ru-RU"/>
        </w:rPr>
      </w:pPr>
      <w:r w:rsidRPr="00294DCC">
        <w:rPr>
          <w:lang w:eastAsia="ru-RU"/>
        </w:rPr>
        <w:t xml:space="preserve">При передаче результатов Работ Получателю оформить Акт сдачи-приемки Работ, который является документом, подтверждающим факт выполнения Работ, а дата его подписания является датой приемки выполненных Работ. Акт подписывается Исполнителем и Получателем и оформляется в 3 (Трех) экземплярах, один из которых передается Заказчику, один остается у Исполнителя, один – у Получателя. </w:t>
      </w:r>
    </w:p>
    <w:p w:rsidR="00294DCC" w:rsidRPr="00294DCC" w:rsidRDefault="00294DCC" w:rsidP="00294DCC">
      <w:pPr>
        <w:jc w:val="both"/>
        <w:rPr>
          <w:lang w:eastAsia="ru-RU"/>
        </w:rPr>
      </w:pPr>
      <w:r w:rsidRPr="00294DCC">
        <w:rPr>
          <w:lang w:eastAsia="ru-RU"/>
        </w:rPr>
        <w:t xml:space="preserve"> </w:t>
      </w:r>
      <w:proofErr w:type="gramStart"/>
      <w:r w:rsidRPr="00294DCC">
        <w:rPr>
          <w:lang w:eastAsia="ru-RU"/>
        </w:rPr>
        <w:t xml:space="preserve">В случае использования услуг транспортной организации, почтовой связи Акт сдачи-приемки Работ подписывается только Исполнителем с приложением документов (транспортных, сопроводительных, уведомлений о вручении и пр.), подтверждающих факт отправки и вручения Получателю готового изделия.   </w:t>
      </w:r>
      <w:proofErr w:type="gramEnd"/>
    </w:p>
    <w:p w:rsidR="00294DCC" w:rsidRDefault="00294DCC" w:rsidP="00294DCC">
      <w:pPr>
        <w:widowControl w:val="0"/>
        <w:suppressAutoHyphens w:val="0"/>
        <w:ind w:firstLine="426"/>
        <w:jc w:val="both"/>
        <w:rPr>
          <w:bCs/>
        </w:rPr>
      </w:pPr>
    </w:p>
    <w:p w:rsidR="00294DCC" w:rsidRDefault="00294DCC" w:rsidP="00294DCC">
      <w:pPr>
        <w:widowControl w:val="0"/>
        <w:suppressAutoHyphens w:val="0"/>
        <w:ind w:firstLine="426"/>
        <w:jc w:val="both"/>
        <w:rPr>
          <w:bCs/>
          <w:sz w:val="25"/>
          <w:szCs w:val="25"/>
        </w:rPr>
      </w:pPr>
      <w:r>
        <w:rPr>
          <w:bCs/>
        </w:rPr>
        <w:t>Р</w:t>
      </w:r>
      <w:r w:rsidRPr="00724CC6">
        <w:rPr>
          <w:bCs/>
        </w:rPr>
        <w:t>абот</w:t>
      </w:r>
      <w:r>
        <w:rPr>
          <w:bCs/>
        </w:rPr>
        <w:t>ы</w:t>
      </w:r>
      <w:r w:rsidRPr="00724CC6">
        <w:rPr>
          <w:bCs/>
        </w:rPr>
        <w:t xml:space="preserve"> по </w:t>
      </w:r>
      <w:r w:rsidRPr="00D32ABF">
        <w:rPr>
          <w:bCs/>
        </w:rPr>
        <w:t xml:space="preserve">изготовлению </w:t>
      </w:r>
      <w:r>
        <w:rPr>
          <w:bCs/>
          <w:lang w:bidi="ru-RU"/>
        </w:rPr>
        <w:t>туторов</w:t>
      </w:r>
      <w:r w:rsidRPr="003A795D">
        <w:rPr>
          <w:bCs/>
          <w:sz w:val="25"/>
          <w:szCs w:val="25"/>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520"/>
        <w:gridCol w:w="1276"/>
      </w:tblGrid>
      <w:tr w:rsidR="00294DCC" w:rsidRPr="00744813" w:rsidTr="00CD6223">
        <w:trPr>
          <w:trHeight w:val="696"/>
        </w:trPr>
        <w:tc>
          <w:tcPr>
            <w:tcW w:w="2235" w:type="dxa"/>
            <w:shd w:val="clear" w:color="auto" w:fill="auto"/>
            <w:vAlign w:val="center"/>
          </w:tcPr>
          <w:p w:rsidR="00294DCC" w:rsidRPr="00744813" w:rsidRDefault="00294DCC" w:rsidP="00CD6223">
            <w:pPr>
              <w:snapToGrid w:val="0"/>
              <w:jc w:val="center"/>
            </w:pPr>
            <w:r w:rsidRPr="00744813">
              <w:t>Наименование изделия</w:t>
            </w:r>
          </w:p>
        </w:tc>
        <w:tc>
          <w:tcPr>
            <w:tcW w:w="6520" w:type="dxa"/>
            <w:shd w:val="clear" w:color="auto" w:fill="auto"/>
            <w:vAlign w:val="center"/>
          </w:tcPr>
          <w:p w:rsidR="00294DCC" w:rsidRPr="00744813" w:rsidRDefault="00294DCC" w:rsidP="00CD6223">
            <w:pPr>
              <w:snapToGrid w:val="0"/>
              <w:jc w:val="center"/>
            </w:pPr>
            <w:r w:rsidRPr="00744813">
              <w:t>Описание функциональных и технических характеристик</w:t>
            </w:r>
          </w:p>
        </w:tc>
        <w:tc>
          <w:tcPr>
            <w:tcW w:w="1276" w:type="dxa"/>
            <w:shd w:val="clear" w:color="auto" w:fill="auto"/>
            <w:vAlign w:val="center"/>
          </w:tcPr>
          <w:p w:rsidR="00294DCC" w:rsidRPr="00744813" w:rsidRDefault="00294DCC" w:rsidP="00CD6223">
            <w:pPr>
              <w:snapToGrid w:val="0"/>
              <w:jc w:val="center"/>
            </w:pPr>
            <w:r w:rsidRPr="00744813">
              <w:t>Кол-во,</w:t>
            </w:r>
          </w:p>
          <w:p w:rsidR="00294DCC" w:rsidRPr="00744813" w:rsidRDefault="00294DCC" w:rsidP="00CD6223">
            <w:pPr>
              <w:snapToGrid w:val="0"/>
              <w:jc w:val="center"/>
            </w:pPr>
            <w:r w:rsidRPr="00744813">
              <w:t>(шт.)</w:t>
            </w:r>
          </w:p>
        </w:tc>
      </w:tr>
      <w:tr w:rsidR="00294DCC" w:rsidRPr="00744813" w:rsidTr="00CD6223">
        <w:trPr>
          <w:trHeight w:val="3114"/>
        </w:trPr>
        <w:tc>
          <w:tcPr>
            <w:tcW w:w="10031" w:type="dxa"/>
            <w:gridSpan w:val="3"/>
            <w:shd w:val="clear" w:color="auto" w:fill="auto"/>
            <w:vAlign w:val="center"/>
          </w:tcPr>
          <w:p w:rsidR="00294DCC" w:rsidRPr="00601547" w:rsidRDefault="00294DCC" w:rsidP="00CD6223">
            <w:pPr>
              <w:autoSpaceDE w:val="0"/>
              <w:jc w:val="both"/>
            </w:pPr>
            <w:r w:rsidRPr="00601547">
              <w:t xml:space="preserve">Качество изготавливаемых изделий должно соответствовать государственным стандартам (ГОСТ), действующим на территории Российской Федерации, в том числе: </w:t>
            </w:r>
          </w:p>
          <w:p w:rsidR="00294DCC" w:rsidRPr="00601547" w:rsidRDefault="00294DCC" w:rsidP="00CD6223">
            <w:pPr>
              <w:pStyle w:val="ConsPlusNormal"/>
              <w:ind w:firstLine="0"/>
              <w:jc w:val="both"/>
              <w:rPr>
                <w:rFonts w:ascii="Times New Roman" w:hAnsi="Times New Roman"/>
                <w:sz w:val="24"/>
                <w:szCs w:val="24"/>
              </w:rPr>
            </w:pPr>
            <w:r w:rsidRPr="00601547">
              <w:rPr>
                <w:rFonts w:ascii="Times New Roman" w:hAnsi="Times New Roman"/>
                <w:sz w:val="24"/>
                <w:szCs w:val="24"/>
              </w:rPr>
              <w:t xml:space="preserve"> -ГОСТ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294DCC" w:rsidRPr="00601547" w:rsidRDefault="00294DCC" w:rsidP="00CD6223">
            <w:pPr>
              <w:suppressAutoHyphens w:val="0"/>
              <w:autoSpaceDE w:val="0"/>
              <w:autoSpaceDN w:val="0"/>
              <w:adjustRightInd w:val="0"/>
              <w:jc w:val="both"/>
              <w:rPr>
                <w:lang w:eastAsia="ru-RU"/>
              </w:rPr>
            </w:pPr>
            <w:r w:rsidRPr="00601547">
              <w:rPr>
                <w:lang w:eastAsia="ru-RU"/>
              </w:rPr>
              <w:t xml:space="preserve"> -ГОСТ ISO 10993-5-2011 «Изделия медицинские. Оценка биологического действия медицинских изделий. Часть 5. Исследования на </w:t>
            </w:r>
            <w:proofErr w:type="spellStart"/>
            <w:r w:rsidRPr="00601547">
              <w:rPr>
                <w:lang w:eastAsia="ru-RU"/>
              </w:rPr>
              <w:t>цитотоксичность</w:t>
            </w:r>
            <w:proofErr w:type="spellEnd"/>
            <w:r w:rsidRPr="00601547">
              <w:rPr>
                <w:lang w:eastAsia="ru-RU"/>
              </w:rPr>
              <w:t xml:space="preserve">: методы </w:t>
            </w:r>
            <w:proofErr w:type="spellStart"/>
            <w:r w:rsidRPr="00601547">
              <w:rPr>
                <w:lang w:eastAsia="ru-RU"/>
              </w:rPr>
              <w:t>in</w:t>
            </w:r>
            <w:proofErr w:type="spellEnd"/>
            <w:r w:rsidRPr="00601547">
              <w:rPr>
                <w:lang w:eastAsia="ru-RU"/>
              </w:rPr>
              <w:t xml:space="preserve"> </w:t>
            </w:r>
            <w:proofErr w:type="spellStart"/>
            <w:r w:rsidRPr="00601547">
              <w:rPr>
                <w:lang w:eastAsia="ru-RU"/>
              </w:rPr>
              <w:t>vitro</w:t>
            </w:r>
            <w:proofErr w:type="spellEnd"/>
            <w:r w:rsidRPr="00601547">
              <w:rPr>
                <w:lang w:eastAsia="ru-RU"/>
              </w:rPr>
              <w:t>»;</w:t>
            </w:r>
          </w:p>
          <w:p w:rsidR="00294DCC" w:rsidRPr="00601547" w:rsidRDefault="00294DCC" w:rsidP="00CD6223">
            <w:pPr>
              <w:suppressAutoHyphens w:val="0"/>
              <w:autoSpaceDE w:val="0"/>
              <w:autoSpaceDN w:val="0"/>
              <w:adjustRightInd w:val="0"/>
              <w:jc w:val="both"/>
              <w:rPr>
                <w:lang w:eastAsia="ru-RU"/>
              </w:rPr>
            </w:pPr>
            <w:r w:rsidRPr="00601547">
              <w:rPr>
                <w:lang w:eastAsia="ru-RU"/>
              </w:rPr>
              <w:t xml:space="preserve">  -ГОСТ ISO 10993-10-2011 «Изделия медицинские. Оценка биологического действия медицинских изделий. Часть 10. Исследование раздражающего и сенсибилизирующего действия»;</w:t>
            </w:r>
          </w:p>
          <w:p w:rsidR="00294DCC" w:rsidRPr="00601547" w:rsidRDefault="00294DCC" w:rsidP="00CD6223">
            <w:pPr>
              <w:jc w:val="both"/>
            </w:pPr>
            <w:r w:rsidRPr="00601547">
              <w:rPr>
                <w:kern w:val="2"/>
              </w:rPr>
              <w:t xml:space="preserve"> -ГОСТ </w:t>
            </w:r>
            <w:proofErr w:type="gramStart"/>
            <w:r w:rsidRPr="00601547">
              <w:rPr>
                <w:kern w:val="2"/>
              </w:rPr>
              <w:t>Р</w:t>
            </w:r>
            <w:proofErr w:type="gramEnd"/>
            <w:r w:rsidRPr="00601547">
              <w:rPr>
                <w:kern w:val="2"/>
              </w:rPr>
              <w:t xml:space="preserve"> 51632-2021 «Технические средства реабилитации людей с ограничениями жизнедеятельности. Общие технические требования и методы испытаний»;</w:t>
            </w:r>
          </w:p>
          <w:p w:rsidR="00294DCC" w:rsidRPr="00744813" w:rsidRDefault="00294DCC" w:rsidP="00CD6223">
            <w:pPr>
              <w:snapToGrid w:val="0"/>
              <w:jc w:val="both"/>
            </w:pPr>
            <w:r w:rsidRPr="00601547">
              <w:t xml:space="preserve"> -ГОСТ </w:t>
            </w:r>
            <w:proofErr w:type="gramStart"/>
            <w:r w:rsidRPr="00601547">
              <w:t>Р</w:t>
            </w:r>
            <w:proofErr w:type="gramEnd"/>
            <w:r w:rsidRPr="00601547">
              <w:t xml:space="preserve"> 52770-2016 «Изделия медицинские. Требования безопасности. Методы санитарно-химических и токсикологических испытаний».</w:t>
            </w:r>
          </w:p>
        </w:tc>
      </w:tr>
      <w:tr w:rsidR="00294DCC" w:rsidRPr="00744813" w:rsidTr="00CD6223">
        <w:trPr>
          <w:trHeight w:val="785"/>
        </w:trPr>
        <w:tc>
          <w:tcPr>
            <w:tcW w:w="2235" w:type="dxa"/>
            <w:shd w:val="clear" w:color="auto" w:fill="auto"/>
            <w:vAlign w:val="center"/>
          </w:tcPr>
          <w:p w:rsidR="00294DCC" w:rsidRPr="00E8378E" w:rsidRDefault="00294DCC" w:rsidP="00CD6223">
            <w:pPr>
              <w:snapToGrid w:val="0"/>
              <w:jc w:val="center"/>
              <w:rPr>
                <w:color w:val="000000"/>
              </w:rPr>
            </w:pPr>
            <w:r w:rsidRPr="00E8378E">
              <w:rPr>
                <w:color w:val="000000"/>
              </w:rPr>
              <w:t>Тутор на коленный сустав</w:t>
            </w:r>
          </w:p>
        </w:tc>
        <w:tc>
          <w:tcPr>
            <w:tcW w:w="6520" w:type="dxa"/>
            <w:shd w:val="clear" w:color="auto" w:fill="auto"/>
            <w:vAlign w:val="center"/>
          </w:tcPr>
          <w:p w:rsidR="00294DCC" w:rsidRPr="00E8378E" w:rsidRDefault="00294DCC" w:rsidP="00CD6223">
            <w:pPr>
              <w:widowControl w:val="0"/>
              <w:snapToGrid w:val="0"/>
              <w:spacing w:line="260" w:lineRule="exact"/>
              <w:jc w:val="both"/>
              <w:rPr>
                <w:color w:val="000000"/>
              </w:rPr>
            </w:pPr>
            <w:r w:rsidRPr="007C19FD">
              <w:rPr>
                <w:color w:val="000000"/>
                <w:u w:val="single"/>
              </w:rPr>
              <w:t>Тутор на коленный сустав</w:t>
            </w:r>
            <w:r w:rsidRPr="00DA7DD2">
              <w:rPr>
                <w:color w:val="000000"/>
              </w:rPr>
              <w:t xml:space="preserve"> должен быть предназначен для обеспечения фиксации, коррекции, разгрузки. Должен представлять собой жесткую гильзу, изготовленную из </w:t>
            </w:r>
            <w:r w:rsidRPr="00DA7DD2">
              <w:rPr>
                <w:color w:val="000000"/>
              </w:rPr>
              <w:lastRenderedPageBreak/>
              <w:t>полимерного материала по индивидуальным слепкам. Внутренняя поверхность гильзы может быть смягчена вкладышем из вспененного, смягчающего материала. Фиксация тутора должна осуществляться креплением, выполненным из «</w:t>
            </w:r>
            <w:proofErr w:type="gramStart"/>
            <w:r w:rsidRPr="00DA7DD2">
              <w:rPr>
                <w:color w:val="000000"/>
              </w:rPr>
              <w:t>ленты-контакт</w:t>
            </w:r>
            <w:proofErr w:type="gramEnd"/>
            <w:r w:rsidRPr="00DA7DD2">
              <w:rPr>
                <w:color w:val="000000"/>
              </w:rPr>
              <w:t>»</w:t>
            </w:r>
            <w:r>
              <w:rPr>
                <w:color w:val="000000"/>
              </w:rPr>
              <w:t xml:space="preserve"> или молни</w:t>
            </w:r>
            <w:r w:rsidRPr="00DA7DD2">
              <w:rPr>
                <w:color w:val="000000"/>
              </w:rPr>
              <w:t>ей.</w:t>
            </w:r>
          </w:p>
        </w:tc>
        <w:tc>
          <w:tcPr>
            <w:tcW w:w="1276" w:type="dxa"/>
            <w:shd w:val="clear" w:color="auto" w:fill="auto"/>
            <w:vAlign w:val="center"/>
          </w:tcPr>
          <w:p w:rsidR="00294DCC" w:rsidRDefault="00294DCC" w:rsidP="00CD6223">
            <w:pPr>
              <w:suppressAutoHyphens w:val="0"/>
              <w:snapToGrid w:val="0"/>
              <w:jc w:val="center"/>
            </w:pPr>
            <w:r>
              <w:lastRenderedPageBreak/>
              <w:t>37</w:t>
            </w:r>
          </w:p>
        </w:tc>
      </w:tr>
      <w:tr w:rsidR="00294DCC" w:rsidRPr="00744813" w:rsidTr="00CD6223">
        <w:trPr>
          <w:trHeight w:val="785"/>
        </w:trPr>
        <w:tc>
          <w:tcPr>
            <w:tcW w:w="2235" w:type="dxa"/>
            <w:shd w:val="clear" w:color="auto" w:fill="auto"/>
            <w:vAlign w:val="center"/>
          </w:tcPr>
          <w:p w:rsidR="00294DCC" w:rsidRPr="00E8378E" w:rsidRDefault="00294DCC" w:rsidP="00CD6223">
            <w:pPr>
              <w:snapToGrid w:val="0"/>
              <w:jc w:val="center"/>
              <w:rPr>
                <w:color w:val="000000"/>
              </w:rPr>
            </w:pPr>
            <w:r w:rsidRPr="00E8378E">
              <w:rPr>
                <w:color w:val="000000"/>
              </w:rPr>
              <w:lastRenderedPageBreak/>
              <w:t>Тутор на голеностопный сустав</w:t>
            </w:r>
          </w:p>
        </w:tc>
        <w:tc>
          <w:tcPr>
            <w:tcW w:w="6520" w:type="dxa"/>
            <w:shd w:val="clear" w:color="auto" w:fill="auto"/>
            <w:vAlign w:val="center"/>
          </w:tcPr>
          <w:p w:rsidR="00294DCC" w:rsidRDefault="00294DCC" w:rsidP="00CD6223">
            <w:pPr>
              <w:widowControl w:val="0"/>
              <w:snapToGrid w:val="0"/>
              <w:spacing w:line="260" w:lineRule="exact"/>
              <w:jc w:val="both"/>
              <w:rPr>
                <w:color w:val="000000"/>
              </w:rPr>
            </w:pPr>
            <w:r w:rsidRPr="007C19FD">
              <w:rPr>
                <w:color w:val="000000"/>
                <w:u w:val="single"/>
              </w:rPr>
              <w:t>Тутор на голеностопный сустав</w:t>
            </w:r>
            <w:r w:rsidRPr="00DA7DD2">
              <w:rPr>
                <w:color w:val="000000"/>
              </w:rPr>
              <w:t xml:space="preserve"> должен быть предназначен для обеспечения фиксации голеностопного сустава. Должен представлять собой жесткую гильзу, изготовленную из полимерного материала по индивидуальным слепкам. Внутренняя поверхность гильзы может быть смягчена вкладышем из вспененного, смягчающего материала. Фиксация тутора должна осуществляться креплением, выполненным из «</w:t>
            </w:r>
            <w:proofErr w:type="gramStart"/>
            <w:r w:rsidRPr="00DA7DD2">
              <w:rPr>
                <w:color w:val="000000"/>
              </w:rPr>
              <w:t>ленты-контакт</w:t>
            </w:r>
            <w:proofErr w:type="gramEnd"/>
            <w:r w:rsidRPr="00DA7DD2">
              <w:rPr>
                <w:color w:val="000000"/>
              </w:rPr>
              <w:t>» или молнией.</w:t>
            </w:r>
          </w:p>
        </w:tc>
        <w:tc>
          <w:tcPr>
            <w:tcW w:w="1276" w:type="dxa"/>
            <w:shd w:val="clear" w:color="auto" w:fill="auto"/>
            <w:vAlign w:val="center"/>
          </w:tcPr>
          <w:p w:rsidR="00294DCC" w:rsidRDefault="00294DCC" w:rsidP="00CD6223">
            <w:pPr>
              <w:suppressAutoHyphens w:val="0"/>
              <w:snapToGrid w:val="0"/>
              <w:jc w:val="center"/>
            </w:pPr>
            <w:r>
              <w:t>62</w:t>
            </w:r>
          </w:p>
        </w:tc>
      </w:tr>
      <w:tr w:rsidR="00294DCC" w:rsidRPr="00744813" w:rsidTr="00CD6223">
        <w:trPr>
          <w:trHeight w:val="785"/>
        </w:trPr>
        <w:tc>
          <w:tcPr>
            <w:tcW w:w="2235" w:type="dxa"/>
            <w:shd w:val="clear" w:color="auto" w:fill="auto"/>
            <w:vAlign w:val="center"/>
          </w:tcPr>
          <w:p w:rsidR="00294DCC" w:rsidRPr="00E8378E" w:rsidRDefault="00294DCC" w:rsidP="00CD6223">
            <w:pPr>
              <w:snapToGrid w:val="0"/>
              <w:jc w:val="center"/>
              <w:rPr>
                <w:color w:val="000000"/>
              </w:rPr>
            </w:pPr>
            <w:r w:rsidRPr="00F62BA6">
              <w:rPr>
                <w:color w:val="000000"/>
              </w:rPr>
              <w:t>Тутор на всю ногу</w:t>
            </w:r>
          </w:p>
        </w:tc>
        <w:tc>
          <w:tcPr>
            <w:tcW w:w="6520" w:type="dxa"/>
            <w:shd w:val="clear" w:color="auto" w:fill="auto"/>
            <w:vAlign w:val="center"/>
          </w:tcPr>
          <w:p w:rsidR="00294DCC" w:rsidRPr="00B9233E" w:rsidRDefault="00294DCC" w:rsidP="00CD6223">
            <w:pPr>
              <w:jc w:val="both"/>
              <w:rPr>
                <w:color w:val="000000"/>
              </w:rPr>
            </w:pPr>
            <w:r w:rsidRPr="007C19FD">
              <w:rPr>
                <w:color w:val="000000"/>
                <w:u w:val="single"/>
              </w:rPr>
              <w:t>Тутор на всю ногу</w:t>
            </w:r>
            <w:r>
              <w:rPr>
                <w:color w:val="000000"/>
              </w:rPr>
              <w:t xml:space="preserve"> должен быть</w:t>
            </w:r>
            <w:r w:rsidRPr="007C19FD">
              <w:rPr>
                <w:color w:val="000000"/>
              </w:rPr>
              <w:t xml:space="preserve"> предназначен для обеспечения фиксации, коррекции, разгрузки. </w:t>
            </w:r>
            <w:r>
              <w:rPr>
                <w:color w:val="000000"/>
              </w:rPr>
              <w:t>Тутор на всю ногу должен представлять собой</w:t>
            </w:r>
            <w:r w:rsidRPr="007C19FD">
              <w:rPr>
                <w:color w:val="000000"/>
              </w:rPr>
              <w:t xml:space="preserve"> жесткую гильзу, изготовленную из полимерного материала по индивидуальным слепкам. Внутренняя поверхность гильзы </w:t>
            </w:r>
            <w:r>
              <w:rPr>
                <w:color w:val="000000"/>
              </w:rPr>
              <w:t xml:space="preserve">должна быть </w:t>
            </w:r>
            <w:r w:rsidRPr="007C19FD">
              <w:rPr>
                <w:color w:val="000000"/>
              </w:rPr>
              <w:t xml:space="preserve">смягчена вкладышем из вспененного, смягчающего материала. Фиксация тутора </w:t>
            </w:r>
            <w:r>
              <w:rPr>
                <w:color w:val="000000"/>
              </w:rPr>
              <w:t xml:space="preserve">должна </w:t>
            </w:r>
            <w:r w:rsidRPr="007C19FD">
              <w:rPr>
                <w:color w:val="000000"/>
              </w:rPr>
              <w:t>осуществляется креплением, выполненным из «</w:t>
            </w:r>
            <w:proofErr w:type="gramStart"/>
            <w:r w:rsidRPr="007C19FD">
              <w:rPr>
                <w:color w:val="000000"/>
              </w:rPr>
              <w:t>ленты-контакт</w:t>
            </w:r>
            <w:proofErr w:type="gramEnd"/>
            <w:r w:rsidRPr="007C19FD">
              <w:rPr>
                <w:color w:val="000000"/>
              </w:rPr>
              <w:t>» или молнией.</w:t>
            </w:r>
          </w:p>
        </w:tc>
        <w:tc>
          <w:tcPr>
            <w:tcW w:w="1276" w:type="dxa"/>
            <w:shd w:val="clear" w:color="auto" w:fill="auto"/>
            <w:vAlign w:val="center"/>
          </w:tcPr>
          <w:p w:rsidR="00294DCC" w:rsidRDefault="00294DCC" w:rsidP="00CD6223">
            <w:pPr>
              <w:suppressAutoHyphens w:val="0"/>
              <w:snapToGrid w:val="0"/>
              <w:jc w:val="center"/>
            </w:pPr>
            <w:r>
              <w:t>9</w:t>
            </w:r>
          </w:p>
        </w:tc>
      </w:tr>
      <w:tr w:rsidR="00294DCC" w:rsidRPr="00744813" w:rsidTr="00CD6223">
        <w:trPr>
          <w:trHeight w:val="785"/>
        </w:trPr>
        <w:tc>
          <w:tcPr>
            <w:tcW w:w="2235" w:type="dxa"/>
            <w:shd w:val="clear" w:color="auto" w:fill="auto"/>
            <w:vAlign w:val="center"/>
          </w:tcPr>
          <w:p w:rsidR="00294DCC" w:rsidRPr="00F62BA6" w:rsidRDefault="00294DCC" w:rsidP="00CD6223">
            <w:pPr>
              <w:snapToGrid w:val="0"/>
              <w:jc w:val="center"/>
              <w:rPr>
                <w:color w:val="000000"/>
              </w:rPr>
            </w:pPr>
            <w:r w:rsidRPr="00E8378E">
              <w:rPr>
                <w:color w:val="000000"/>
              </w:rPr>
              <w:t>Тутор на лучезапястный сустав</w:t>
            </w:r>
          </w:p>
        </w:tc>
        <w:tc>
          <w:tcPr>
            <w:tcW w:w="6520" w:type="dxa"/>
            <w:shd w:val="clear" w:color="auto" w:fill="auto"/>
            <w:vAlign w:val="center"/>
          </w:tcPr>
          <w:p w:rsidR="00294DCC" w:rsidRPr="007C19FD" w:rsidRDefault="00294DCC" w:rsidP="00CD6223">
            <w:pPr>
              <w:widowControl w:val="0"/>
              <w:snapToGrid w:val="0"/>
              <w:spacing w:line="260" w:lineRule="exact"/>
              <w:jc w:val="both"/>
              <w:rPr>
                <w:color w:val="000000"/>
                <w:u w:val="single"/>
              </w:rPr>
            </w:pPr>
            <w:r w:rsidRPr="00EA2645">
              <w:rPr>
                <w:color w:val="000000"/>
                <w:u w:val="single"/>
              </w:rPr>
              <w:t>Тутор на лучезапястный сустав</w:t>
            </w:r>
            <w:r w:rsidRPr="00EA2645">
              <w:rPr>
                <w:color w:val="000000"/>
              </w:rPr>
              <w:t xml:space="preserve"> должен быть предназначен для обеспечения фиксации дистальной трети предплечья и кисти. Должен изготавливаться из полимерного материала по индивидуальному слепку. Фиксация должна осуществляться при помощи «ленты - контакт» или молнией.</w:t>
            </w:r>
          </w:p>
        </w:tc>
        <w:tc>
          <w:tcPr>
            <w:tcW w:w="1276" w:type="dxa"/>
            <w:shd w:val="clear" w:color="auto" w:fill="auto"/>
            <w:vAlign w:val="center"/>
          </w:tcPr>
          <w:p w:rsidR="00294DCC" w:rsidRDefault="00294DCC" w:rsidP="00CD6223">
            <w:pPr>
              <w:suppressAutoHyphens w:val="0"/>
              <w:snapToGrid w:val="0"/>
              <w:jc w:val="center"/>
            </w:pPr>
            <w:r>
              <w:t>6</w:t>
            </w:r>
          </w:p>
        </w:tc>
      </w:tr>
      <w:tr w:rsidR="00294DCC" w:rsidRPr="00744813" w:rsidTr="00CD6223">
        <w:trPr>
          <w:trHeight w:val="785"/>
        </w:trPr>
        <w:tc>
          <w:tcPr>
            <w:tcW w:w="2235" w:type="dxa"/>
            <w:shd w:val="clear" w:color="auto" w:fill="auto"/>
            <w:vAlign w:val="center"/>
          </w:tcPr>
          <w:p w:rsidR="00294DCC" w:rsidRPr="00E8378E" w:rsidRDefault="00294DCC" w:rsidP="00CD6223">
            <w:pPr>
              <w:snapToGrid w:val="0"/>
              <w:jc w:val="center"/>
              <w:rPr>
                <w:color w:val="000000"/>
              </w:rPr>
            </w:pPr>
            <w:r w:rsidRPr="00E8378E">
              <w:rPr>
                <w:color w:val="000000"/>
              </w:rPr>
              <w:t>Тутор на локтевой сустав</w:t>
            </w:r>
          </w:p>
        </w:tc>
        <w:tc>
          <w:tcPr>
            <w:tcW w:w="6520" w:type="dxa"/>
            <w:shd w:val="clear" w:color="auto" w:fill="auto"/>
            <w:vAlign w:val="center"/>
          </w:tcPr>
          <w:p w:rsidR="00294DCC" w:rsidRPr="00EA2645" w:rsidRDefault="00294DCC" w:rsidP="00CD6223">
            <w:pPr>
              <w:jc w:val="both"/>
              <w:rPr>
                <w:color w:val="000000"/>
                <w:u w:val="single"/>
              </w:rPr>
            </w:pPr>
            <w:r w:rsidRPr="00F56338">
              <w:rPr>
                <w:color w:val="000000"/>
                <w:u w:val="single"/>
              </w:rPr>
              <w:t>Тутор на локтевой сустав</w:t>
            </w:r>
            <w:r w:rsidRPr="00F9513B">
              <w:rPr>
                <w:color w:val="000000"/>
              </w:rPr>
              <w:t xml:space="preserve"> должен быть предназначен для обеспечения фиксации, разгрузки. Должен представлять  собой жесткую гильзу, изготовленную из </w:t>
            </w:r>
            <w:r w:rsidRPr="00F56338">
              <w:rPr>
                <w:color w:val="000000"/>
              </w:rPr>
              <w:t>полимерного материала</w:t>
            </w:r>
            <w:r w:rsidRPr="00F9513B">
              <w:rPr>
                <w:color w:val="000000"/>
              </w:rPr>
              <w:t xml:space="preserve"> по индивидуальному слепку. Внутренняя поверхность гильзы может быть смягчена вкладышем из вспененного, смягчающего материала. Фиксация тутора должна осуществляться креплением,</w:t>
            </w:r>
            <w:r>
              <w:rPr>
                <w:color w:val="000000"/>
              </w:rPr>
              <w:t xml:space="preserve"> выполненным из «</w:t>
            </w:r>
            <w:proofErr w:type="gramStart"/>
            <w:r>
              <w:rPr>
                <w:color w:val="000000"/>
              </w:rPr>
              <w:t>ленты-контакт</w:t>
            </w:r>
            <w:proofErr w:type="gramEnd"/>
            <w:r>
              <w:rPr>
                <w:color w:val="000000"/>
              </w:rPr>
              <w:t>» или молнией.</w:t>
            </w:r>
          </w:p>
        </w:tc>
        <w:tc>
          <w:tcPr>
            <w:tcW w:w="1276" w:type="dxa"/>
            <w:shd w:val="clear" w:color="auto" w:fill="auto"/>
            <w:vAlign w:val="center"/>
          </w:tcPr>
          <w:p w:rsidR="00294DCC" w:rsidRDefault="00294DCC" w:rsidP="00CD6223">
            <w:pPr>
              <w:suppressAutoHyphens w:val="0"/>
              <w:snapToGrid w:val="0"/>
              <w:jc w:val="center"/>
            </w:pPr>
            <w:r>
              <w:t>7</w:t>
            </w:r>
          </w:p>
        </w:tc>
      </w:tr>
      <w:tr w:rsidR="00294DCC" w:rsidRPr="00744813" w:rsidTr="00CD6223">
        <w:trPr>
          <w:trHeight w:val="785"/>
        </w:trPr>
        <w:tc>
          <w:tcPr>
            <w:tcW w:w="2235" w:type="dxa"/>
            <w:shd w:val="clear" w:color="auto" w:fill="auto"/>
            <w:vAlign w:val="center"/>
          </w:tcPr>
          <w:p w:rsidR="00294DCC" w:rsidRPr="00E8378E" w:rsidRDefault="00294DCC" w:rsidP="00CD6223">
            <w:pPr>
              <w:snapToGrid w:val="0"/>
              <w:jc w:val="center"/>
              <w:rPr>
                <w:color w:val="000000"/>
              </w:rPr>
            </w:pPr>
            <w:r>
              <w:rPr>
                <w:color w:val="000000"/>
              </w:rPr>
              <w:t>Тутор на всю руку</w:t>
            </w:r>
          </w:p>
        </w:tc>
        <w:tc>
          <w:tcPr>
            <w:tcW w:w="6520" w:type="dxa"/>
            <w:shd w:val="clear" w:color="auto" w:fill="auto"/>
            <w:vAlign w:val="center"/>
          </w:tcPr>
          <w:p w:rsidR="00294DCC" w:rsidRPr="00F56338" w:rsidRDefault="00294DCC" w:rsidP="00CD6223">
            <w:pPr>
              <w:widowControl w:val="0"/>
              <w:snapToGrid w:val="0"/>
              <w:spacing w:line="260" w:lineRule="exact"/>
              <w:jc w:val="both"/>
              <w:rPr>
                <w:color w:val="000000"/>
                <w:u w:val="single"/>
              </w:rPr>
            </w:pPr>
            <w:r w:rsidRPr="00F56338">
              <w:rPr>
                <w:color w:val="000000"/>
                <w:u w:val="single"/>
              </w:rPr>
              <w:t>Тутор на всю руку</w:t>
            </w:r>
            <w:r w:rsidRPr="00F56338">
              <w:rPr>
                <w:color w:val="000000"/>
              </w:rPr>
              <w:t xml:space="preserve"> должен быть предназначен для обеспечения фиксации пораженной конечности в положении достигнутой коррекции при </w:t>
            </w:r>
            <w:r>
              <w:rPr>
                <w:color w:val="000000"/>
              </w:rPr>
              <w:t>патологиче</w:t>
            </w:r>
            <w:r w:rsidRPr="00F56338">
              <w:rPr>
                <w:color w:val="000000"/>
              </w:rPr>
              <w:t xml:space="preserve">ских </w:t>
            </w:r>
            <w:proofErr w:type="spellStart"/>
            <w:r w:rsidRPr="00F56338">
              <w:rPr>
                <w:color w:val="000000"/>
              </w:rPr>
              <w:t>сгибательных</w:t>
            </w:r>
            <w:proofErr w:type="spellEnd"/>
            <w:r w:rsidRPr="00F56338">
              <w:rPr>
                <w:color w:val="000000"/>
              </w:rPr>
              <w:t xml:space="preserve"> и разгибательны</w:t>
            </w:r>
            <w:r>
              <w:rPr>
                <w:color w:val="000000"/>
              </w:rPr>
              <w:t>х</w:t>
            </w:r>
            <w:r w:rsidRPr="00F56338">
              <w:rPr>
                <w:color w:val="000000"/>
              </w:rPr>
              <w:t xml:space="preserve">, </w:t>
            </w:r>
            <w:proofErr w:type="spellStart"/>
            <w:r w:rsidRPr="00F56338">
              <w:rPr>
                <w:color w:val="000000"/>
              </w:rPr>
              <w:t>пронационных</w:t>
            </w:r>
            <w:proofErr w:type="spellEnd"/>
            <w:r w:rsidRPr="00F56338">
              <w:rPr>
                <w:color w:val="000000"/>
              </w:rPr>
              <w:t xml:space="preserve"> и </w:t>
            </w:r>
            <w:proofErr w:type="spellStart"/>
            <w:r w:rsidRPr="00F56338">
              <w:rPr>
                <w:color w:val="000000"/>
              </w:rPr>
              <w:t>супинационных</w:t>
            </w:r>
            <w:proofErr w:type="spellEnd"/>
            <w:r w:rsidRPr="00F56338">
              <w:rPr>
                <w:color w:val="000000"/>
              </w:rPr>
              <w:t xml:space="preserve"> ко</w:t>
            </w:r>
            <w:r>
              <w:rPr>
                <w:color w:val="000000"/>
              </w:rPr>
              <w:t xml:space="preserve">нтрактурах и других проблемах. </w:t>
            </w:r>
            <w:r w:rsidRPr="00F56338">
              <w:rPr>
                <w:color w:val="000000"/>
              </w:rPr>
              <w:t>Должен представлять</w:t>
            </w:r>
            <w:r>
              <w:rPr>
                <w:color w:val="000000"/>
              </w:rPr>
              <w:t xml:space="preserve"> </w:t>
            </w:r>
            <w:r w:rsidRPr="00F56338">
              <w:rPr>
                <w:color w:val="000000"/>
              </w:rPr>
              <w:t>собой жесткую гильзу, изготовленную из полимерного материала по индивидуальным слепкам. Внутренняя поверхность гильзы может быть смягчена вкладышем из вспененного, смягчающего материала. Фиксация тутора должна осуществляться креплением, выполненным из «</w:t>
            </w:r>
            <w:proofErr w:type="gramStart"/>
            <w:r w:rsidRPr="00F56338">
              <w:rPr>
                <w:color w:val="000000"/>
              </w:rPr>
              <w:t>ленты-контакт</w:t>
            </w:r>
            <w:proofErr w:type="gramEnd"/>
            <w:r w:rsidRPr="00F56338">
              <w:rPr>
                <w:color w:val="000000"/>
              </w:rPr>
              <w:t>» или молнией.</w:t>
            </w:r>
          </w:p>
        </w:tc>
        <w:tc>
          <w:tcPr>
            <w:tcW w:w="1276" w:type="dxa"/>
            <w:shd w:val="clear" w:color="auto" w:fill="auto"/>
            <w:vAlign w:val="center"/>
          </w:tcPr>
          <w:p w:rsidR="00294DCC" w:rsidRDefault="00294DCC" w:rsidP="00CD6223">
            <w:pPr>
              <w:suppressAutoHyphens w:val="0"/>
              <w:snapToGrid w:val="0"/>
              <w:jc w:val="center"/>
            </w:pPr>
            <w:r>
              <w:t>5</w:t>
            </w:r>
          </w:p>
        </w:tc>
      </w:tr>
      <w:tr w:rsidR="00294DCC" w:rsidRPr="00744813" w:rsidTr="00CD6223">
        <w:tc>
          <w:tcPr>
            <w:tcW w:w="10031" w:type="dxa"/>
            <w:gridSpan w:val="3"/>
            <w:shd w:val="clear" w:color="auto" w:fill="auto"/>
            <w:vAlign w:val="center"/>
          </w:tcPr>
          <w:p w:rsidR="00294DCC" w:rsidRPr="00744813" w:rsidRDefault="00294DCC" w:rsidP="00CD6223">
            <w:pPr>
              <w:snapToGrid w:val="0"/>
              <w:jc w:val="both"/>
            </w:pPr>
            <w:proofErr w:type="gramStart"/>
            <w:r w:rsidRPr="00744813">
              <w:t xml:space="preserve">Гарантийный срок </w:t>
            </w:r>
            <w:r w:rsidRPr="00F62BA6">
              <w:rPr>
                <w:color w:val="000000"/>
                <w:spacing w:val="-4"/>
              </w:rPr>
              <w:t xml:space="preserve">туторов на всю ногу, </w:t>
            </w:r>
            <w:r>
              <w:rPr>
                <w:color w:val="000000"/>
                <w:spacing w:val="-4"/>
              </w:rPr>
              <w:t>туторов на голеностопный сустав, туторов на коленный сустав</w:t>
            </w:r>
            <w:r w:rsidRPr="00F62BA6">
              <w:rPr>
                <w:color w:val="000000"/>
                <w:spacing w:val="-4"/>
              </w:rPr>
              <w:t xml:space="preserve"> </w:t>
            </w:r>
            <w:r w:rsidRPr="00744813">
              <w:t>должен составлять не менее 12 (Двенадцати) месяцев</w:t>
            </w:r>
            <w:r>
              <w:t xml:space="preserve">, </w:t>
            </w:r>
            <w:r w:rsidRPr="00F62BA6">
              <w:rPr>
                <w:color w:val="000000"/>
                <w:spacing w:val="-4"/>
              </w:rPr>
              <w:t>туторов на лучезапястный сустав,</w:t>
            </w:r>
            <w:r>
              <w:rPr>
                <w:color w:val="000000"/>
                <w:spacing w:val="-4"/>
              </w:rPr>
              <w:t xml:space="preserve"> туторов на всю руку, туторов на локтевой сустав</w:t>
            </w:r>
            <w:r w:rsidRPr="00F62BA6">
              <w:rPr>
                <w:color w:val="000000"/>
                <w:spacing w:val="-4"/>
              </w:rPr>
              <w:t xml:space="preserve"> </w:t>
            </w:r>
            <w:r>
              <w:rPr>
                <w:color w:val="000000"/>
                <w:spacing w:val="-4"/>
              </w:rPr>
              <w:t>-</w:t>
            </w:r>
            <w:r w:rsidRPr="00F62BA6">
              <w:rPr>
                <w:color w:val="000000"/>
                <w:spacing w:val="-4"/>
              </w:rPr>
              <w:t xml:space="preserve"> </w:t>
            </w:r>
            <w:r w:rsidRPr="00F62BA6">
              <w:rPr>
                <w:bCs/>
              </w:rPr>
              <w:t>не менее 24 (Двадцати четырех) месяцев для инвалидов и не менее 12 (Двенадцати) месяцев</w:t>
            </w:r>
            <w:r>
              <w:rPr>
                <w:bCs/>
              </w:rPr>
              <w:t xml:space="preserve"> </w:t>
            </w:r>
            <w:r w:rsidRPr="00F62BA6">
              <w:rPr>
                <w:bCs/>
              </w:rPr>
              <w:t>для детей-инвалидов</w:t>
            </w:r>
            <w:r w:rsidRPr="00744813">
              <w:t xml:space="preserve"> со дня подписания Получателем Акта сдачи-приемки Работ Получателем.</w:t>
            </w:r>
            <w:proofErr w:type="gramEnd"/>
          </w:p>
          <w:p w:rsidR="00294DCC" w:rsidRPr="00744813" w:rsidRDefault="00294DCC" w:rsidP="00CD6223">
            <w:pPr>
              <w:snapToGrid w:val="0"/>
              <w:jc w:val="both"/>
            </w:pPr>
            <w:proofErr w:type="gramStart"/>
            <w:r w:rsidRPr="00744813">
              <w:t xml:space="preserve">Срок службы </w:t>
            </w:r>
            <w:r w:rsidRPr="00F62BA6">
              <w:rPr>
                <w:color w:val="000000"/>
                <w:spacing w:val="-4"/>
              </w:rPr>
              <w:t xml:space="preserve">туторов на всю ногу, </w:t>
            </w:r>
            <w:r>
              <w:rPr>
                <w:color w:val="000000"/>
                <w:spacing w:val="-4"/>
              </w:rPr>
              <w:t>туторов на голеностопный сустав, туторов на коленный сустав</w:t>
            </w:r>
            <w:r w:rsidRPr="00F62BA6">
              <w:rPr>
                <w:color w:val="000000"/>
                <w:spacing w:val="-4"/>
              </w:rPr>
              <w:t xml:space="preserve"> </w:t>
            </w:r>
            <w:r w:rsidRPr="00744813">
              <w:t>должен составлять не менее 12 (Двенадцати) месяцев</w:t>
            </w:r>
            <w:r>
              <w:t xml:space="preserve">, </w:t>
            </w:r>
            <w:r w:rsidRPr="00F62BA6">
              <w:rPr>
                <w:color w:val="000000"/>
                <w:spacing w:val="-4"/>
              </w:rPr>
              <w:t>туторов на лучезапястный сустав,</w:t>
            </w:r>
            <w:r>
              <w:rPr>
                <w:color w:val="000000"/>
                <w:spacing w:val="-4"/>
              </w:rPr>
              <w:t xml:space="preserve"> туторов </w:t>
            </w:r>
            <w:r>
              <w:rPr>
                <w:color w:val="000000"/>
                <w:spacing w:val="-4"/>
              </w:rPr>
              <w:lastRenderedPageBreak/>
              <w:t xml:space="preserve">на всю руку, туторов на локтевой сустав - </w:t>
            </w:r>
            <w:r w:rsidRPr="00F62BA6">
              <w:rPr>
                <w:bCs/>
              </w:rPr>
              <w:t>не менее 24 (Двадцати четырёх) месяцев для инвалидов и не менее 12 (Двенадцати) месяцев для детей-инвалидов</w:t>
            </w:r>
            <w:r w:rsidRPr="00744813">
              <w:t xml:space="preserve"> со дня подписания Получателем Акта сдачи-приемки Работ Получателем.</w:t>
            </w:r>
            <w:proofErr w:type="gramEnd"/>
          </w:p>
          <w:p w:rsidR="00294DCC" w:rsidRPr="00744813" w:rsidRDefault="00294DCC" w:rsidP="00CD6223">
            <w:pPr>
              <w:snapToGrid w:val="0"/>
              <w:jc w:val="both"/>
            </w:pPr>
            <w:r w:rsidRPr="00744813">
              <w:t>Срок службы должен быть не менее срока пользования, установленный Приказом Минтруда России от 05.03.2021 №107н «Об утверждении Сроков пользования техническими средствами реабилитации, протезами и протезно-ортопедическими изделиями».</w:t>
            </w:r>
          </w:p>
        </w:tc>
      </w:tr>
    </w:tbl>
    <w:p w:rsidR="00294DCC" w:rsidRPr="000A6E48" w:rsidRDefault="00294DCC" w:rsidP="00294DCC">
      <w:pPr>
        <w:widowControl w:val="0"/>
        <w:suppressAutoHyphens w:val="0"/>
        <w:ind w:firstLine="426"/>
        <w:jc w:val="both"/>
        <w:rPr>
          <w:b/>
          <w:bCs/>
          <w:sz w:val="25"/>
          <w:szCs w:val="25"/>
        </w:rPr>
      </w:pPr>
    </w:p>
    <w:p w:rsidR="00294DCC" w:rsidRDefault="00294DCC" w:rsidP="00294DCC">
      <w:pPr>
        <w:jc w:val="both"/>
        <w:rPr>
          <w:sz w:val="2"/>
          <w:szCs w:val="2"/>
        </w:rPr>
      </w:pPr>
    </w:p>
    <w:p w:rsidR="00D21E33" w:rsidRDefault="00D21E33" w:rsidP="00D21E33">
      <w:pPr>
        <w:ind w:firstLine="709"/>
        <w:jc w:val="both"/>
        <w:rPr>
          <w:sz w:val="18"/>
          <w:szCs w:val="18"/>
        </w:rPr>
      </w:pPr>
    </w:p>
    <w:p w:rsidR="00D21E33" w:rsidRDefault="00D21E33" w:rsidP="00D21E33">
      <w:pPr>
        <w:ind w:firstLine="709"/>
        <w:jc w:val="both"/>
        <w:rPr>
          <w:sz w:val="18"/>
          <w:szCs w:val="18"/>
        </w:rPr>
      </w:pPr>
    </w:p>
    <w:p w:rsidR="00D21E33" w:rsidRDefault="00D21E33" w:rsidP="00D21E33">
      <w:pPr>
        <w:ind w:firstLine="709"/>
        <w:jc w:val="both"/>
        <w:rPr>
          <w:sz w:val="18"/>
          <w:szCs w:val="18"/>
        </w:rPr>
      </w:pPr>
    </w:p>
    <w:p w:rsidR="00D21E33" w:rsidRDefault="00D21E33" w:rsidP="00D21E33">
      <w:pPr>
        <w:ind w:firstLine="709"/>
        <w:jc w:val="both"/>
        <w:rPr>
          <w:sz w:val="18"/>
          <w:szCs w:val="18"/>
        </w:rPr>
      </w:pPr>
    </w:p>
    <w:p w:rsidR="00D21E33" w:rsidRDefault="00D21E33" w:rsidP="00D21E33">
      <w:pPr>
        <w:ind w:firstLine="709"/>
        <w:jc w:val="both"/>
        <w:rPr>
          <w:sz w:val="18"/>
          <w:szCs w:val="18"/>
        </w:rPr>
      </w:pPr>
    </w:p>
    <w:p w:rsidR="00D21E33" w:rsidRDefault="00D21E33" w:rsidP="00D21E33">
      <w:pPr>
        <w:ind w:firstLine="709"/>
        <w:jc w:val="both"/>
        <w:rPr>
          <w:sz w:val="18"/>
          <w:szCs w:val="18"/>
        </w:rPr>
      </w:pPr>
    </w:p>
    <w:sectPr w:rsidR="00D21E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2DF"/>
    <w:rsid w:val="0015224B"/>
    <w:rsid w:val="001E3865"/>
    <w:rsid w:val="00294DCC"/>
    <w:rsid w:val="002962DF"/>
    <w:rsid w:val="002B3CA2"/>
    <w:rsid w:val="002D2D9F"/>
    <w:rsid w:val="002E3B0A"/>
    <w:rsid w:val="00310851"/>
    <w:rsid w:val="0038502C"/>
    <w:rsid w:val="0055479F"/>
    <w:rsid w:val="006158B8"/>
    <w:rsid w:val="009C0A1A"/>
    <w:rsid w:val="00C174F9"/>
    <w:rsid w:val="00C86DF3"/>
    <w:rsid w:val="00D03064"/>
    <w:rsid w:val="00D21E33"/>
    <w:rsid w:val="00E32CB5"/>
    <w:rsid w:val="00F24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F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E32CB5"/>
    <w:pPr>
      <w:widowControl w:val="0"/>
      <w:suppressAutoHyphens/>
      <w:autoSpaceDE w:val="0"/>
      <w:spacing w:after="0" w:line="240" w:lineRule="auto"/>
      <w:ind w:firstLine="720"/>
    </w:pPr>
    <w:rPr>
      <w:rFonts w:ascii="Arial" w:eastAsia="Arial" w:hAnsi="Arial" w:cs="Times New Roman"/>
      <w:sz w:val="20"/>
      <w:szCs w:val="20"/>
    </w:rPr>
  </w:style>
  <w:style w:type="character" w:customStyle="1" w:styleId="ConsPlusNormal0">
    <w:name w:val="ConsPlusNormal Знак"/>
    <w:link w:val="ConsPlusNormal"/>
    <w:locked/>
    <w:rsid w:val="00E32CB5"/>
    <w:rPr>
      <w:rFonts w:ascii="Arial" w:eastAsia="Arial" w:hAnsi="Arial" w:cs="Times New Roman"/>
      <w:sz w:val="20"/>
      <w:szCs w:val="20"/>
    </w:rPr>
  </w:style>
  <w:style w:type="paragraph" w:customStyle="1" w:styleId="ConsNormal">
    <w:name w:val="ConsNormal"/>
    <w:link w:val="ConsNormal0"/>
    <w:rsid w:val="0055479F"/>
    <w:pPr>
      <w:suppressAutoHyphens/>
      <w:autoSpaceDE w:val="0"/>
      <w:spacing w:after="0" w:line="240" w:lineRule="auto"/>
      <w:ind w:right="19772" w:firstLine="720"/>
    </w:pPr>
    <w:rPr>
      <w:rFonts w:ascii="Arial" w:eastAsia="Arial" w:hAnsi="Arial" w:cs="Arial"/>
      <w:sz w:val="20"/>
      <w:szCs w:val="20"/>
      <w:lang w:eastAsia="ar-SA"/>
    </w:rPr>
  </w:style>
  <w:style w:type="character" w:customStyle="1" w:styleId="ConsNormal0">
    <w:name w:val="ConsNormal Знак"/>
    <w:link w:val="ConsNormal"/>
    <w:rsid w:val="0055479F"/>
    <w:rPr>
      <w:rFonts w:ascii="Arial" w:eastAsia="Arial" w:hAnsi="Arial" w:cs="Arial"/>
      <w:sz w:val="20"/>
      <w:szCs w:val="20"/>
      <w:lang w:eastAsia="ar-SA"/>
    </w:rPr>
  </w:style>
  <w:style w:type="character" w:customStyle="1" w:styleId="ng-binding">
    <w:name w:val="ng-binding"/>
    <w:rsid w:val="00D21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F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E32CB5"/>
    <w:pPr>
      <w:widowControl w:val="0"/>
      <w:suppressAutoHyphens/>
      <w:autoSpaceDE w:val="0"/>
      <w:spacing w:after="0" w:line="240" w:lineRule="auto"/>
      <w:ind w:firstLine="720"/>
    </w:pPr>
    <w:rPr>
      <w:rFonts w:ascii="Arial" w:eastAsia="Arial" w:hAnsi="Arial" w:cs="Times New Roman"/>
      <w:sz w:val="20"/>
      <w:szCs w:val="20"/>
    </w:rPr>
  </w:style>
  <w:style w:type="character" w:customStyle="1" w:styleId="ConsPlusNormal0">
    <w:name w:val="ConsPlusNormal Знак"/>
    <w:link w:val="ConsPlusNormal"/>
    <w:locked/>
    <w:rsid w:val="00E32CB5"/>
    <w:rPr>
      <w:rFonts w:ascii="Arial" w:eastAsia="Arial" w:hAnsi="Arial" w:cs="Times New Roman"/>
      <w:sz w:val="20"/>
      <w:szCs w:val="20"/>
    </w:rPr>
  </w:style>
  <w:style w:type="paragraph" w:customStyle="1" w:styleId="ConsNormal">
    <w:name w:val="ConsNormal"/>
    <w:link w:val="ConsNormal0"/>
    <w:rsid w:val="0055479F"/>
    <w:pPr>
      <w:suppressAutoHyphens/>
      <w:autoSpaceDE w:val="0"/>
      <w:spacing w:after="0" w:line="240" w:lineRule="auto"/>
      <w:ind w:right="19772" w:firstLine="720"/>
    </w:pPr>
    <w:rPr>
      <w:rFonts w:ascii="Arial" w:eastAsia="Arial" w:hAnsi="Arial" w:cs="Arial"/>
      <w:sz w:val="20"/>
      <w:szCs w:val="20"/>
      <w:lang w:eastAsia="ar-SA"/>
    </w:rPr>
  </w:style>
  <w:style w:type="character" w:customStyle="1" w:styleId="ConsNormal0">
    <w:name w:val="ConsNormal Знак"/>
    <w:link w:val="ConsNormal"/>
    <w:rsid w:val="0055479F"/>
    <w:rPr>
      <w:rFonts w:ascii="Arial" w:eastAsia="Arial" w:hAnsi="Arial" w:cs="Arial"/>
      <w:sz w:val="20"/>
      <w:szCs w:val="20"/>
      <w:lang w:eastAsia="ar-SA"/>
    </w:rPr>
  </w:style>
  <w:style w:type="character" w:customStyle="1" w:styleId="ng-binding">
    <w:name w:val="ng-binding"/>
    <w:rsid w:val="00D21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0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1024</Words>
  <Characters>5840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Стрельникова Наталья Леонидовна</dc:creator>
  <cp:lastModifiedBy>Кошелева Светлана Борисовна</cp:lastModifiedBy>
  <cp:revision>8</cp:revision>
  <dcterms:created xsi:type="dcterms:W3CDTF">2023-02-09T14:41:00Z</dcterms:created>
  <dcterms:modified xsi:type="dcterms:W3CDTF">2023-11-02T11:23:00Z</dcterms:modified>
</cp:coreProperties>
</file>