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79" w:rsidRDefault="00AB338A" w:rsidP="00E404C3">
      <w:pPr>
        <w:spacing w:before="120" w:after="120"/>
        <w:jc w:val="center"/>
      </w:pPr>
      <w:r w:rsidRPr="00811B6A">
        <w:rPr>
          <w:b/>
        </w:rPr>
        <w:t>ОПИСАНИЕ ОБЪЕКТА ЗАКУПКИ</w:t>
      </w:r>
      <w:r w:rsidR="00E404C3" w:rsidRPr="00E404C3">
        <w:t xml:space="preserve"> </w:t>
      </w:r>
    </w:p>
    <w:p w:rsidR="00272B79" w:rsidRDefault="00272B79" w:rsidP="00E404C3">
      <w:pPr>
        <w:spacing w:before="120" w:after="120"/>
        <w:jc w:val="center"/>
        <w:rPr>
          <w:b/>
        </w:rPr>
      </w:pPr>
      <w:r w:rsidRPr="00272B79">
        <w:rPr>
          <w:b/>
        </w:rPr>
        <w:t>(ТЕХНИЧЕСКОЕ ЗАДАНИЕ)</w:t>
      </w:r>
    </w:p>
    <w:p w:rsidR="00E404C3" w:rsidRDefault="00E404C3" w:rsidP="00E404C3">
      <w:pPr>
        <w:spacing w:before="120" w:after="120"/>
        <w:jc w:val="center"/>
        <w:rPr>
          <w:b/>
          <w:i/>
        </w:rPr>
      </w:pPr>
      <w:r w:rsidRPr="00811B6A">
        <w:t xml:space="preserve">Наименование и описание объекта электронного аукциона: </w:t>
      </w:r>
      <w:r w:rsidR="00272B79" w:rsidRPr="00272B79">
        <w:rPr>
          <w:b/>
          <w:i/>
        </w:rPr>
        <w:t>№ 191. Поставка технических средств реабилитации - специальных средств при нарушении функций выделения (катетеры для самокатетеризации лубрицированные, наборы-мочеприемники для самокатетеризации, мочеприемник ножной, прикроватный, пара ремешков для крепления мочеприемников) для обеспечения ими инвалидов в 2023 году.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gridCol w:w="1134"/>
      </w:tblGrid>
      <w:tr w:rsidR="0072599D" w:rsidRPr="0072599D" w:rsidTr="00AF0211">
        <w:trPr>
          <w:trHeight w:val="484"/>
        </w:trPr>
        <w:tc>
          <w:tcPr>
            <w:tcW w:w="562" w:type="dxa"/>
            <w:tcBorders>
              <w:top w:val="single" w:sz="4" w:space="0" w:color="auto"/>
              <w:left w:val="single" w:sz="4" w:space="0" w:color="auto"/>
              <w:bottom w:val="single" w:sz="4" w:space="0" w:color="auto"/>
              <w:right w:val="single" w:sz="4" w:space="0" w:color="auto"/>
            </w:tcBorders>
            <w:vAlign w:val="center"/>
          </w:tcPr>
          <w:p w:rsidR="0072599D" w:rsidRPr="0072599D" w:rsidRDefault="0072599D" w:rsidP="0072599D">
            <w:pPr>
              <w:tabs>
                <w:tab w:val="left" w:pos="708"/>
              </w:tabs>
              <w:jc w:val="center"/>
              <w:rPr>
                <w:b/>
                <w:sz w:val="20"/>
                <w:szCs w:val="20"/>
              </w:rPr>
            </w:pPr>
            <w:r w:rsidRPr="0072599D">
              <w:rPr>
                <w:b/>
                <w:sz w:val="20"/>
                <w:szCs w:val="20"/>
              </w:rPr>
              <w:t>№</w:t>
            </w:r>
          </w:p>
          <w:p w:rsidR="0072599D" w:rsidRPr="0072599D" w:rsidRDefault="0072599D" w:rsidP="0072599D">
            <w:pPr>
              <w:tabs>
                <w:tab w:val="left" w:pos="708"/>
              </w:tabs>
              <w:jc w:val="center"/>
              <w:rPr>
                <w:b/>
                <w:sz w:val="20"/>
                <w:szCs w:val="20"/>
              </w:rPr>
            </w:pPr>
            <w:r w:rsidRPr="0072599D">
              <w:rPr>
                <w:b/>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72599D" w:rsidRPr="00AF0211" w:rsidRDefault="0072599D" w:rsidP="0072599D">
            <w:pPr>
              <w:tabs>
                <w:tab w:val="left" w:pos="708"/>
              </w:tabs>
              <w:jc w:val="center"/>
              <w:rPr>
                <w:b/>
                <w:sz w:val="22"/>
                <w:szCs w:val="22"/>
              </w:rPr>
            </w:pPr>
            <w:r w:rsidRPr="00AF0211">
              <w:rPr>
                <w:b/>
                <w:sz w:val="22"/>
                <w:szCs w:val="22"/>
              </w:rPr>
              <w:t>Наименование Товара</w:t>
            </w:r>
          </w:p>
        </w:tc>
        <w:tc>
          <w:tcPr>
            <w:tcW w:w="5954" w:type="dxa"/>
            <w:tcBorders>
              <w:top w:val="single" w:sz="4" w:space="0" w:color="auto"/>
              <w:left w:val="single" w:sz="4" w:space="0" w:color="auto"/>
              <w:bottom w:val="single" w:sz="4" w:space="0" w:color="auto"/>
              <w:right w:val="single" w:sz="4" w:space="0" w:color="auto"/>
            </w:tcBorders>
            <w:vAlign w:val="center"/>
          </w:tcPr>
          <w:p w:rsidR="0072599D" w:rsidRPr="00AF0211" w:rsidRDefault="0072599D" w:rsidP="0072599D">
            <w:pPr>
              <w:tabs>
                <w:tab w:val="left" w:pos="708"/>
              </w:tabs>
              <w:spacing w:line="100" w:lineRule="atLeast"/>
              <w:jc w:val="center"/>
              <w:rPr>
                <w:b/>
                <w:sz w:val="22"/>
                <w:szCs w:val="22"/>
              </w:rPr>
            </w:pPr>
            <w:r w:rsidRPr="00AF0211">
              <w:rPr>
                <w:b/>
                <w:sz w:val="22"/>
                <w:szCs w:val="22"/>
              </w:rPr>
              <w:t>Описание и характеристики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72599D" w:rsidRPr="00AF0211" w:rsidRDefault="0072599D" w:rsidP="0072599D">
            <w:pPr>
              <w:tabs>
                <w:tab w:val="left" w:pos="708"/>
              </w:tabs>
              <w:ind w:left="-77"/>
              <w:jc w:val="center"/>
              <w:rPr>
                <w:b/>
                <w:sz w:val="22"/>
                <w:szCs w:val="22"/>
              </w:rPr>
            </w:pPr>
            <w:r w:rsidRPr="00AF0211">
              <w:rPr>
                <w:b/>
                <w:sz w:val="22"/>
                <w:szCs w:val="22"/>
              </w:rPr>
              <w:t>Кол-во, шт.</w:t>
            </w:r>
          </w:p>
        </w:tc>
      </w:tr>
      <w:tr w:rsidR="00847BA6" w:rsidRPr="0072599D" w:rsidTr="00AF0211">
        <w:trPr>
          <w:trHeight w:val="781"/>
        </w:trPr>
        <w:tc>
          <w:tcPr>
            <w:tcW w:w="562" w:type="dxa"/>
            <w:tcBorders>
              <w:top w:val="single" w:sz="4" w:space="0" w:color="auto"/>
              <w:left w:val="single" w:sz="4" w:space="0" w:color="auto"/>
              <w:bottom w:val="single" w:sz="4" w:space="0" w:color="auto"/>
              <w:right w:val="single" w:sz="4" w:space="0" w:color="auto"/>
            </w:tcBorders>
            <w:vAlign w:val="center"/>
          </w:tcPr>
          <w:p w:rsidR="00847BA6" w:rsidRPr="0072599D" w:rsidRDefault="00847BA6" w:rsidP="00847BA6">
            <w:pPr>
              <w:tabs>
                <w:tab w:val="left" w:pos="708"/>
              </w:tabs>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rPr>
                <w:rFonts w:eastAsia="Calibri"/>
                <w:b/>
              </w:rPr>
            </w:pPr>
            <w:r w:rsidRPr="00551BCB">
              <w:rPr>
                <w:rFonts w:eastAsia="Calibri"/>
                <w:b/>
              </w:rPr>
              <w:t>32.50.13.190-00006894 Катетер уретральный для однократного дренирования.</w:t>
            </w:r>
          </w:p>
          <w:p w:rsidR="00847BA6" w:rsidRPr="00847BA6" w:rsidRDefault="00847BA6" w:rsidP="00847BA6">
            <w:pPr>
              <w:rPr>
                <w:rFonts w:eastAsia="Calibri"/>
              </w:rPr>
            </w:pPr>
            <w:r w:rsidRPr="00847BA6">
              <w:rPr>
                <w:rFonts w:eastAsia="Calibri"/>
              </w:rPr>
              <w:t xml:space="preserve">21-01-20. </w:t>
            </w:r>
          </w:p>
          <w:p w:rsidR="00847BA6" w:rsidRPr="00551BCB" w:rsidRDefault="00847BA6" w:rsidP="00847BA6">
            <w:pPr>
              <w:rPr>
                <w:rFonts w:eastAsia="Calibri"/>
              </w:rPr>
            </w:pPr>
            <w:r w:rsidRPr="00847BA6">
              <w:rPr>
                <w:rFonts w:eastAsia="Calibri"/>
              </w:rPr>
              <w:t>Катетер для самокатетеризации лубрицированный</w:t>
            </w:r>
          </w:p>
        </w:tc>
        <w:tc>
          <w:tcPr>
            <w:tcW w:w="595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snapToGrid w:val="0"/>
              <w:rPr>
                <w:rFonts w:eastAsia="Calibri"/>
                <w:spacing w:val="2"/>
                <w:shd w:val="clear" w:color="auto" w:fill="FFFFFF"/>
              </w:rPr>
            </w:pPr>
            <w:r w:rsidRPr="00551BCB">
              <w:rPr>
                <w:rFonts w:eastAsia="Calibri"/>
                <w:b/>
                <w:bCs/>
                <w:color w:val="000000"/>
              </w:rPr>
              <w:t xml:space="preserve">Катетер лубрицированный </w:t>
            </w:r>
            <w:r w:rsidRPr="00551BCB">
              <w:rPr>
                <w:rFonts w:eastAsia="Calibri"/>
                <w:bCs/>
                <w:color w:val="000000"/>
              </w:rPr>
              <w:t>для периодической самокатетеризации, готовый к применению. С возможностью применения самим пациентом. Тип Нелатон. Размер по Шарьеру: от 08 ch (включительно) до 16 ch (включительно) (в зависимости от антропометрических данных пациента). Длина катетера не менее 18 см (включительно).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 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tcPr>
          <w:p w:rsidR="00847BA6" w:rsidRDefault="00847BA6" w:rsidP="00847BA6">
            <w:pPr>
              <w:pStyle w:val="aa"/>
              <w:tabs>
                <w:tab w:val="center" w:pos="432"/>
              </w:tabs>
              <w:snapToGrid w:val="0"/>
              <w:jc w:val="center"/>
              <w:rPr>
                <w:rFonts w:ascii="Times New Roman" w:hAnsi="Times New Roman" w:cs="Times New Roman"/>
                <w:sz w:val="24"/>
                <w:szCs w:val="24"/>
              </w:rPr>
            </w:pPr>
            <w:r w:rsidRPr="00551BCB">
              <w:rPr>
                <w:rFonts w:ascii="Times New Roman" w:hAnsi="Times New Roman" w:cs="Times New Roman"/>
                <w:sz w:val="24"/>
                <w:szCs w:val="24"/>
              </w:rPr>
              <w:t>6 480</w:t>
            </w:r>
          </w:p>
          <w:p w:rsidR="00847BA6" w:rsidRPr="00215058" w:rsidRDefault="00847BA6" w:rsidP="00847BA6"/>
        </w:tc>
      </w:tr>
      <w:tr w:rsidR="00847BA6" w:rsidRPr="0072599D" w:rsidTr="00AF0211">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847BA6" w:rsidRPr="0072599D" w:rsidRDefault="00847BA6" w:rsidP="00847BA6">
            <w:pPr>
              <w:tabs>
                <w:tab w:val="left" w:pos="708"/>
              </w:tabs>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snapToGrid w:val="0"/>
              <w:rPr>
                <w:rFonts w:eastAsia="Calibri"/>
                <w:b/>
              </w:rPr>
            </w:pPr>
            <w:r w:rsidRPr="00551BCB">
              <w:rPr>
                <w:rFonts w:eastAsia="Calibri"/>
                <w:b/>
              </w:rPr>
              <w:t>32.50.13.110-00003237 – Набор для однократной катетеризации уретры для самостоятельного применения, одноразового использования.</w:t>
            </w:r>
          </w:p>
          <w:p w:rsidR="00847BA6" w:rsidRPr="00847BA6" w:rsidRDefault="00847BA6" w:rsidP="00847BA6">
            <w:pPr>
              <w:snapToGrid w:val="0"/>
              <w:rPr>
                <w:rFonts w:eastAsia="Calibri"/>
              </w:rPr>
            </w:pPr>
            <w:r w:rsidRPr="00847BA6">
              <w:rPr>
                <w:rFonts w:eastAsia="Calibri"/>
              </w:rPr>
              <w:t>21-01-21. Набор – мочеприемников для самокатетеризации</w:t>
            </w:r>
          </w:p>
        </w:tc>
        <w:tc>
          <w:tcPr>
            <w:tcW w:w="595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pStyle w:val="formattext"/>
              <w:shd w:val="clear" w:color="auto" w:fill="FFFFFF"/>
              <w:spacing w:before="0" w:beforeAutospacing="0" w:after="0" w:afterAutospacing="0" w:line="315" w:lineRule="atLeast"/>
              <w:textAlignment w:val="baseline"/>
              <w:rPr>
                <w:rFonts w:eastAsia="Calibri"/>
              </w:rPr>
            </w:pPr>
            <w:r w:rsidRPr="00551BCB">
              <w:rPr>
                <w:rFonts w:eastAsia="Calibri"/>
                <w:color w:val="000000"/>
              </w:rPr>
              <w:t xml:space="preserve">Набор для самокатетеризации для периодической самокатетеризации. С возможностью применения самим пациентом. Специальная упаковка набора должна позволяет проводить катетеризацию не касаясь катетера руками. Мочеприемник объемом не менее 750 мл и не более 1000 мл с нанесенной градуировкой, с антирефлюксным клапаном, исключающим риск обратного тока мочи. Катетеры типа Нелатон. Размер по Шарьеру: от 08 ch (включительно) до 16 ch (включительно) (в зависимости от антропометрических данных пациента). Длина катетера не менее 18 см (включительно). Наборы одноразовые, стерильные и находятся в индивидуальной упаковке. </w:t>
            </w:r>
            <w:r w:rsidRPr="00551BCB">
              <w:rPr>
                <w:rFonts w:eastAsia="Calibri"/>
                <w:bCs/>
                <w:color w:val="000000"/>
              </w:rPr>
              <w:t>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keepNext/>
              <w:widowControl w:val="0"/>
              <w:tabs>
                <w:tab w:val="left" w:pos="0"/>
              </w:tabs>
              <w:snapToGrid w:val="0"/>
              <w:jc w:val="center"/>
              <w:rPr>
                <w:rFonts w:eastAsia="Calibri"/>
                <w:bCs/>
              </w:rPr>
            </w:pPr>
            <w:r w:rsidRPr="00551BCB">
              <w:rPr>
                <w:rFonts w:eastAsia="Calibri"/>
                <w:bCs/>
              </w:rPr>
              <w:t>2700</w:t>
            </w:r>
          </w:p>
        </w:tc>
      </w:tr>
      <w:tr w:rsidR="00847BA6" w:rsidRPr="0072599D" w:rsidTr="00AF0211">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847BA6" w:rsidRPr="0072599D" w:rsidRDefault="00847BA6" w:rsidP="00847BA6">
            <w:pPr>
              <w:tabs>
                <w:tab w:val="left" w:pos="708"/>
              </w:tabs>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rPr>
                <w:rFonts w:eastAsia="Calibri"/>
                <w:b/>
              </w:rPr>
            </w:pPr>
            <w:r w:rsidRPr="00551BCB">
              <w:rPr>
                <w:rFonts w:eastAsia="Calibri"/>
                <w:b/>
              </w:rPr>
              <w:t>32.50.13.190-00006902: Мочеприемник носимый ножной со сливным краном, нестерильный.</w:t>
            </w:r>
          </w:p>
          <w:p w:rsidR="00847BA6" w:rsidRPr="00847BA6" w:rsidRDefault="00847BA6" w:rsidP="00847BA6">
            <w:pPr>
              <w:rPr>
                <w:rFonts w:eastAsia="Calibri"/>
              </w:rPr>
            </w:pPr>
            <w:r w:rsidRPr="00847BA6">
              <w:rPr>
                <w:rFonts w:eastAsia="Calibri"/>
              </w:rPr>
              <w:t xml:space="preserve">21-01-15. Мочеприемник ножной (мешок для сбора мочи) дневной. </w:t>
            </w:r>
          </w:p>
        </w:tc>
        <w:tc>
          <w:tcPr>
            <w:tcW w:w="595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autoSpaceDE w:val="0"/>
              <w:autoSpaceDN w:val="0"/>
              <w:adjustRightInd w:val="0"/>
              <w:rPr>
                <w:rFonts w:eastAsia="Calibri"/>
              </w:rPr>
            </w:pPr>
            <w:r w:rsidRPr="00551BCB">
              <w:rPr>
                <w:rFonts w:eastAsia="Calibri"/>
              </w:rPr>
              <w:t xml:space="preserve">Нестерильный гибкий пластиковый мешок, разработанный для присоединения к мочевому катетеру или уропрезервативу и фиксации на ноге пациента для сбора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 </w:t>
            </w:r>
          </w:p>
          <w:p w:rsidR="00847BA6" w:rsidRPr="00551BCB" w:rsidRDefault="00847BA6" w:rsidP="00847BA6">
            <w:pPr>
              <w:rPr>
                <w:rFonts w:eastAsia="Calibri"/>
              </w:rPr>
            </w:pPr>
            <w:r w:rsidRPr="00551BCB">
              <w:rPr>
                <w:rFonts w:eastAsia="Calibri"/>
              </w:rPr>
              <w:t>Мешок из многослойного, не пропускающего запах материала (пленки), с односторонним покрытием из мягкого нетканого материала, с антирефлюксным и сливным клапанами, переходником для соединения с уропрезервативом, объёмом не менее 500 мл и не более 800 мл. Нестерильный.</w:t>
            </w:r>
          </w:p>
        </w:tc>
        <w:tc>
          <w:tcPr>
            <w:tcW w:w="113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jc w:val="center"/>
              <w:rPr>
                <w:rFonts w:eastAsia="Calibri"/>
              </w:rPr>
            </w:pPr>
            <w:r w:rsidRPr="00551BCB">
              <w:rPr>
                <w:rFonts w:eastAsia="Calibri"/>
              </w:rPr>
              <w:t>4 080</w:t>
            </w:r>
          </w:p>
        </w:tc>
      </w:tr>
      <w:tr w:rsidR="00847BA6" w:rsidRPr="0072599D" w:rsidTr="00AF0211">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847BA6" w:rsidRPr="0072599D" w:rsidRDefault="00847BA6" w:rsidP="00847BA6">
            <w:pPr>
              <w:tabs>
                <w:tab w:val="left" w:pos="708"/>
              </w:tabs>
              <w:jc w:val="center"/>
              <w:rPr>
                <w:sz w:val="20"/>
                <w:szCs w:val="20"/>
              </w:rPr>
            </w:pPr>
            <w:r>
              <w:rPr>
                <w:sz w:val="20"/>
                <w:szCs w:val="20"/>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widowControl w:val="0"/>
              <w:autoSpaceDN w:val="0"/>
              <w:textAlignment w:val="baseline"/>
              <w:rPr>
                <w:rFonts w:eastAsia="Arial Unicode MS"/>
                <w:b/>
                <w:kern w:val="3"/>
              </w:rPr>
            </w:pPr>
            <w:r w:rsidRPr="00551BCB">
              <w:rPr>
                <w:rFonts w:eastAsia="Arial Unicode MS"/>
                <w:b/>
                <w:kern w:val="3"/>
              </w:rPr>
              <w:t xml:space="preserve">32.50.13.190-00006909: </w:t>
            </w:r>
            <w:r w:rsidRPr="00551BCB">
              <w:rPr>
                <w:rFonts w:eastAsia="Calibri"/>
                <w:b/>
              </w:rPr>
              <w:t>Пара ремешков для крепления мочеприемников (мешков для сбора мочи) к ноге</w:t>
            </w:r>
          </w:p>
          <w:p w:rsidR="00847BA6" w:rsidRPr="00551BCB" w:rsidRDefault="00847BA6" w:rsidP="00847BA6">
            <w:pPr>
              <w:rPr>
                <w:rFonts w:eastAsia="Calibri"/>
              </w:rPr>
            </w:pPr>
          </w:p>
          <w:p w:rsidR="00847BA6" w:rsidRPr="00847BA6" w:rsidRDefault="00847BA6" w:rsidP="00847BA6">
            <w:pPr>
              <w:widowControl w:val="0"/>
              <w:autoSpaceDN w:val="0"/>
              <w:textAlignment w:val="baseline"/>
              <w:rPr>
                <w:rFonts w:eastAsia="Arial Unicode MS"/>
                <w:kern w:val="3"/>
              </w:rPr>
            </w:pPr>
            <w:r w:rsidRPr="00551BCB">
              <w:rPr>
                <w:rFonts w:eastAsia="Calibri"/>
              </w:rPr>
              <w:t>21-01-17. Пара ремешков для крепления мочеприемников (мешков для сбора мочи) к ноге</w:t>
            </w:r>
          </w:p>
        </w:tc>
        <w:tc>
          <w:tcPr>
            <w:tcW w:w="595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autoSpaceDE w:val="0"/>
              <w:autoSpaceDN w:val="0"/>
              <w:adjustRightInd w:val="0"/>
              <w:rPr>
                <w:rFonts w:eastAsia="Calibri"/>
              </w:rPr>
            </w:pPr>
            <w:r w:rsidRPr="00551BCB">
              <w:rPr>
                <w:rFonts w:eastAsia="Calibri"/>
              </w:rPr>
              <w:t>Парные эластичные ремни, обеспечивающие крепления мочеприемников к ноге, регулируемые по длине.</w:t>
            </w:r>
          </w:p>
        </w:tc>
        <w:tc>
          <w:tcPr>
            <w:tcW w:w="1134" w:type="dxa"/>
            <w:tcBorders>
              <w:top w:val="single" w:sz="4" w:space="0" w:color="auto"/>
              <w:left w:val="single" w:sz="4" w:space="0" w:color="auto"/>
              <w:bottom w:val="single" w:sz="4" w:space="0" w:color="auto"/>
              <w:right w:val="single" w:sz="4" w:space="0" w:color="auto"/>
            </w:tcBorders>
            <w:vAlign w:val="center"/>
          </w:tcPr>
          <w:p w:rsidR="00847BA6" w:rsidRPr="00551BCB" w:rsidRDefault="00EA0D49" w:rsidP="00847BA6">
            <w:pPr>
              <w:jc w:val="center"/>
              <w:rPr>
                <w:rFonts w:eastAsia="Calibri"/>
              </w:rPr>
            </w:pPr>
            <w:r>
              <w:rPr>
                <w:rFonts w:eastAsia="Calibri"/>
              </w:rPr>
              <w:t>60</w:t>
            </w:r>
            <w:r w:rsidR="00847BA6" w:rsidRPr="00551BCB">
              <w:rPr>
                <w:rFonts w:eastAsia="Calibri"/>
              </w:rPr>
              <w:t>0</w:t>
            </w:r>
          </w:p>
        </w:tc>
      </w:tr>
      <w:tr w:rsidR="00847BA6" w:rsidRPr="0072599D" w:rsidTr="00AF0211">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847BA6" w:rsidRPr="0072599D" w:rsidRDefault="00847BA6" w:rsidP="00847BA6">
            <w:pPr>
              <w:tabs>
                <w:tab w:val="left" w:pos="708"/>
              </w:tabs>
              <w:jc w:val="center"/>
              <w:rPr>
                <w:sz w:val="20"/>
                <w:szCs w:val="20"/>
              </w:rPr>
            </w:pPr>
            <w:r>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snapToGrid w:val="0"/>
              <w:rPr>
                <w:rFonts w:eastAsia="Calibri"/>
                <w:b/>
              </w:rPr>
            </w:pPr>
            <w:r w:rsidRPr="00551BCB">
              <w:rPr>
                <w:rFonts w:eastAsia="Calibri"/>
                <w:b/>
              </w:rPr>
              <w:t>32.50</w:t>
            </w:r>
            <w:r>
              <w:rPr>
                <w:rFonts w:eastAsia="Calibri"/>
                <w:b/>
              </w:rPr>
              <w:t xml:space="preserve">.13.190-00006902: Мочеприемник </w:t>
            </w:r>
            <w:r w:rsidRPr="00551BCB">
              <w:rPr>
                <w:rFonts w:eastAsia="Calibri"/>
                <w:b/>
              </w:rPr>
              <w:t>со сливным краном без крепления к пациенту, нестерильный.</w:t>
            </w:r>
          </w:p>
          <w:p w:rsidR="00847BA6" w:rsidRPr="00847BA6" w:rsidRDefault="00847BA6" w:rsidP="00847BA6">
            <w:pPr>
              <w:snapToGrid w:val="0"/>
              <w:rPr>
                <w:rFonts w:eastAsia="Calibri"/>
              </w:rPr>
            </w:pPr>
            <w:r w:rsidRPr="00847BA6">
              <w:rPr>
                <w:rFonts w:eastAsia="Calibri"/>
              </w:rPr>
              <w:t>21-01-16. Мочеприемник прикроватный (мешок для сбора мочи) ночной.</w:t>
            </w:r>
          </w:p>
        </w:tc>
        <w:tc>
          <w:tcPr>
            <w:tcW w:w="595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snapToGrid w:val="0"/>
              <w:rPr>
                <w:rFonts w:eastAsia="Calibri"/>
              </w:rPr>
            </w:pPr>
            <w:r w:rsidRPr="00551BCB">
              <w:rPr>
                <w:rFonts w:eastAsia="Calibri"/>
              </w:rPr>
              <w:t>Нестерильный гибкий пластиковый мешок, разработанный для присоединения к мочевому катетеру или уропрезервативу для сбора выделенной пациентом мочи; изделие выпускается с отверстием для дренажа мочи. Изделие не фиксируется непосредственно на пациенте. Это изделие для одноразового использования. Мешок из многослойного, не пропускающего запах материала (пленки), с антирефлюксным и сливным клапанами, переходником для соединения с уропрезервативом, объёмом не менее 1500 мл и не более 2000 мл. Не стерильный.</w:t>
            </w:r>
          </w:p>
        </w:tc>
        <w:tc>
          <w:tcPr>
            <w:tcW w:w="1134" w:type="dxa"/>
            <w:tcBorders>
              <w:top w:val="single" w:sz="4" w:space="0" w:color="auto"/>
              <w:left w:val="single" w:sz="4" w:space="0" w:color="auto"/>
              <w:bottom w:val="single" w:sz="4" w:space="0" w:color="auto"/>
              <w:right w:val="single" w:sz="4" w:space="0" w:color="auto"/>
            </w:tcBorders>
          </w:tcPr>
          <w:p w:rsidR="00847BA6" w:rsidRPr="00551BCB" w:rsidRDefault="00847BA6" w:rsidP="00847BA6">
            <w:pPr>
              <w:keepNext/>
              <w:widowControl w:val="0"/>
              <w:tabs>
                <w:tab w:val="left" w:pos="0"/>
              </w:tabs>
              <w:snapToGrid w:val="0"/>
              <w:jc w:val="center"/>
              <w:rPr>
                <w:rFonts w:eastAsia="Calibri"/>
                <w:bCs/>
              </w:rPr>
            </w:pPr>
            <w:r w:rsidRPr="00551BCB">
              <w:rPr>
                <w:rFonts w:eastAsia="Calibri"/>
                <w:bCs/>
              </w:rPr>
              <w:t>4 080</w:t>
            </w:r>
          </w:p>
        </w:tc>
      </w:tr>
      <w:tr w:rsidR="00847BA6" w:rsidRPr="0072599D" w:rsidTr="00AF0211">
        <w:trPr>
          <w:trHeight w:val="344"/>
        </w:trPr>
        <w:tc>
          <w:tcPr>
            <w:tcW w:w="9351" w:type="dxa"/>
            <w:gridSpan w:val="3"/>
            <w:tcBorders>
              <w:top w:val="single" w:sz="4" w:space="0" w:color="auto"/>
              <w:left w:val="single" w:sz="4" w:space="0" w:color="auto"/>
              <w:bottom w:val="single" w:sz="4" w:space="0" w:color="auto"/>
              <w:right w:val="single" w:sz="4" w:space="0" w:color="auto"/>
            </w:tcBorders>
            <w:vAlign w:val="center"/>
          </w:tcPr>
          <w:p w:rsidR="00847BA6" w:rsidRPr="0072599D" w:rsidRDefault="00847BA6" w:rsidP="00847BA6">
            <w:pPr>
              <w:widowControl w:val="0"/>
              <w:tabs>
                <w:tab w:val="left" w:pos="708"/>
              </w:tabs>
              <w:suppressAutoHyphens/>
              <w:snapToGrid w:val="0"/>
              <w:jc w:val="right"/>
              <w:rPr>
                <w:b/>
                <w:sz w:val="20"/>
                <w:szCs w:val="20"/>
                <w:lang w:eastAsia="ar-SA"/>
              </w:rPr>
            </w:pPr>
            <w:r>
              <w:rPr>
                <w:b/>
                <w:sz w:val="20"/>
                <w:szCs w:val="20"/>
                <w:lang w:eastAsia="ar-SA"/>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47BA6" w:rsidRPr="0072599D" w:rsidRDefault="00531356" w:rsidP="00847BA6">
            <w:pPr>
              <w:tabs>
                <w:tab w:val="left" w:pos="708"/>
              </w:tabs>
              <w:jc w:val="center"/>
              <w:rPr>
                <w:b/>
                <w:sz w:val="20"/>
                <w:szCs w:val="20"/>
              </w:rPr>
            </w:pPr>
            <w:r w:rsidRPr="00531356">
              <w:rPr>
                <w:b/>
                <w:sz w:val="20"/>
                <w:szCs w:val="20"/>
              </w:rPr>
              <w:t>17 940</w:t>
            </w:r>
          </w:p>
        </w:tc>
      </w:tr>
    </w:tbl>
    <w:p w:rsidR="002717BF" w:rsidRPr="002717BF" w:rsidRDefault="002717BF" w:rsidP="002717BF">
      <w:pPr>
        <w:keepNext/>
        <w:suppressAutoHyphens/>
        <w:ind w:firstLine="708"/>
        <w:rPr>
          <w:color w:val="000000"/>
          <w:lang w:eastAsia="ar-SA"/>
        </w:rPr>
      </w:pPr>
      <w:r w:rsidRPr="002717BF">
        <w:rPr>
          <w:b/>
          <w:bCs/>
          <w:color w:val="000000"/>
          <w:kern w:val="2"/>
          <w:lang w:eastAsia="ar-SA"/>
        </w:rPr>
        <w:t xml:space="preserve">Требования к качеству Товара </w:t>
      </w:r>
      <w:r w:rsidRPr="002717BF">
        <w:rPr>
          <w:color w:val="000000"/>
          <w:lang w:eastAsia="ar-SA"/>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4098F" w:rsidRPr="00A16C18" w:rsidRDefault="00A16C18" w:rsidP="002717BF">
      <w:pPr>
        <w:suppressAutoHyphens/>
        <w:ind w:firstLine="709"/>
        <w:rPr>
          <w:lang w:eastAsia="ar-SA"/>
        </w:rPr>
      </w:pPr>
      <w:r w:rsidRPr="00A16C18">
        <w:rPr>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bookmarkStart w:id="0" w:name="_GoBack"/>
      <w:bookmarkEnd w:id="0"/>
    </w:p>
    <w:p w:rsidR="002717BF" w:rsidRPr="002717BF" w:rsidRDefault="002717BF" w:rsidP="002717BF">
      <w:pPr>
        <w:suppressAutoHyphens/>
        <w:ind w:firstLine="709"/>
        <w:rPr>
          <w:lang w:eastAsia="ar-SA"/>
        </w:rPr>
      </w:pPr>
      <w:r w:rsidRPr="002717BF">
        <w:rPr>
          <w:b/>
          <w:lang w:eastAsia="ar-SA"/>
        </w:rPr>
        <w:t xml:space="preserve">Требования к безопасности товара </w:t>
      </w:r>
      <w:r w:rsidRPr="002717BF">
        <w:rPr>
          <w:lang w:eastAsia="ar-SA"/>
        </w:rPr>
        <w:t xml:space="preserve">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 определения. Классификация», ГОСТ Р 58237-2018 </w:t>
      </w:r>
      <w:r w:rsidRPr="000A60A7">
        <w:rPr>
          <w:lang w:eastAsia="ar-SA"/>
        </w:rPr>
        <w:t>Средства ухода за кишечными стомами: калоприемники, вспомогательные средства и средства ухода за кожей вокруг стомы.</w:t>
      </w:r>
      <w:r w:rsidRPr="002717BF">
        <w:rPr>
          <w:lang w:eastAsia="ar-SA"/>
        </w:rPr>
        <w:t xml:space="preserve"> Характеристики и основные требования.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72599D" w:rsidRDefault="002717BF" w:rsidP="0072599D">
      <w:pPr>
        <w:suppressAutoHyphens/>
        <w:ind w:left="360"/>
        <w:jc w:val="center"/>
        <w:rPr>
          <w:b/>
          <w:bCs/>
          <w:kern w:val="2"/>
          <w:lang w:eastAsia="ar-SA"/>
        </w:rPr>
      </w:pPr>
      <w:r w:rsidRPr="002717BF">
        <w:rPr>
          <w:b/>
          <w:lang w:eastAsia="ar-SA"/>
        </w:rPr>
        <w:t xml:space="preserve">Требования к размерам, упаковке, отгрузке </w:t>
      </w:r>
      <w:r w:rsidRPr="002717BF">
        <w:rPr>
          <w:b/>
          <w:bCs/>
          <w:kern w:val="2"/>
          <w:lang w:eastAsia="ar-SA"/>
        </w:rPr>
        <w:t>Товара</w:t>
      </w:r>
    </w:p>
    <w:p w:rsidR="002717BF" w:rsidRPr="0072599D" w:rsidRDefault="002717BF" w:rsidP="0072599D">
      <w:pPr>
        <w:suppressAutoHyphens/>
        <w:ind w:firstLine="851"/>
        <w:rPr>
          <w:b/>
          <w:bCs/>
          <w:kern w:val="2"/>
          <w:lang w:eastAsia="ar-SA"/>
        </w:rPr>
      </w:pPr>
      <w:r w:rsidRPr="002717BF">
        <w:rPr>
          <w:lang w:eastAsia="ar-SA"/>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717BF" w:rsidRPr="002717BF" w:rsidRDefault="002717BF" w:rsidP="002717BF">
      <w:pPr>
        <w:keepLines/>
        <w:widowControl w:val="0"/>
        <w:suppressAutoHyphens/>
        <w:autoSpaceDE w:val="0"/>
        <w:autoSpaceDN w:val="0"/>
        <w:adjustRightInd w:val="0"/>
        <w:ind w:firstLine="708"/>
        <w:rPr>
          <w:lang w:eastAsia="ar-SA"/>
        </w:rPr>
      </w:pPr>
      <w:r w:rsidRPr="002717BF">
        <w:rPr>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717BF" w:rsidRPr="002717BF" w:rsidRDefault="002717BF" w:rsidP="002717BF">
      <w:pPr>
        <w:keepLines/>
        <w:widowControl w:val="0"/>
        <w:tabs>
          <w:tab w:val="left" w:pos="284"/>
        </w:tabs>
        <w:suppressAutoHyphens/>
        <w:rPr>
          <w:lang w:eastAsia="ar-SA"/>
        </w:rPr>
      </w:pPr>
      <w:r w:rsidRPr="002717BF">
        <w:rPr>
          <w:lang w:eastAsia="ar-SA"/>
        </w:rPr>
        <w:tab/>
      </w:r>
      <w:r w:rsidRPr="002717BF">
        <w:rPr>
          <w:lang w:eastAsia="ar-SA"/>
        </w:rPr>
        <w:tab/>
        <w:t>Маркировка упаковки специальных средств при нарушениях функций выделения должна включать:</w:t>
      </w:r>
    </w:p>
    <w:p w:rsidR="002717BF" w:rsidRPr="002717BF" w:rsidRDefault="002717BF" w:rsidP="002717BF">
      <w:pPr>
        <w:keepLines/>
        <w:widowControl w:val="0"/>
        <w:tabs>
          <w:tab w:val="left" w:pos="708"/>
        </w:tabs>
        <w:suppressAutoHyphens/>
        <w:rPr>
          <w:lang w:eastAsia="ar-SA"/>
        </w:rPr>
      </w:pPr>
      <w:r w:rsidRPr="002717BF">
        <w:rPr>
          <w:lang w:eastAsia="ar-SA"/>
        </w:rPr>
        <w:tab/>
        <w:t>- условное обозначение группы изделий, товарную марку (при наличии), обозначение номера изделия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страну-изготовителя;</w:t>
      </w:r>
    </w:p>
    <w:p w:rsidR="002717BF" w:rsidRPr="002717BF" w:rsidRDefault="002717BF" w:rsidP="002717BF">
      <w:pPr>
        <w:keepLines/>
        <w:widowControl w:val="0"/>
        <w:tabs>
          <w:tab w:val="left" w:pos="708"/>
        </w:tabs>
        <w:suppressAutoHyphens/>
        <w:rPr>
          <w:lang w:eastAsia="ar-SA"/>
        </w:rPr>
      </w:pPr>
      <w:r w:rsidRPr="002717BF">
        <w:rPr>
          <w:lang w:eastAsia="ar-SA"/>
        </w:rPr>
        <w:tab/>
        <w:t>- наименование предприятия-изготовителя, юридический адрес, товарный знак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отличительные характеристики изделий в соответствии с их техническим исполнением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номер артикула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количество изделий в упаковке;</w:t>
      </w:r>
    </w:p>
    <w:p w:rsidR="002717BF" w:rsidRPr="002717BF" w:rsidRDefault="002717BF" w:rsidP="002717BF">
      <w:pPr>
        <w:keepLines/>
        <w:widowControl w:val="0"/>
        <w:tabs>
          <w:tab w:val="left" w:pos="708"/>
        </w:tabs>
        <w:suppressAutoHyphens/>
        <w:rPr>
          <w:lang w:eastAsia="ar-SA"/>
        </w:rPr>
      </w:pPr>
      <w:r w:rsidRPr="002717BF">
        <w:rPr>
          <w:lang w:eastAsia="ar-SA"/>
        </w:rPr>
        <w:tab/>
        <w:t>- дату (месяц, год) изготовления или срок годности (при наличии);</w:t>
      </w:r>
    </w:p>
    <w:p w:rsidR="002717BF" w:rsidRPr="002717BF" w:rsidRDefault="002717BF" w:rsidP="002717BF">
      <w:pPr>
        <w:widowControl w:val="0"/>
        <w:tabs>
          <w:tab w:val="left" w:pos="708"/>
        </w:tabs>
        <w:suppressAutoHyphens/>
        <w:rPr>
          <w:lang w:eastAsia="ar-SA"/>
        </w:rPr>
      </w:pPr>
      <w:r w:rsidRPr="002717BF">
        <w:rPr>
          <w:lang w:eastAsia="ar-SA"/>
        </w:rPr>
        <w:tab/>
        <w:t>- правила использования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штриховой код изделия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информацию о сертификации (при наличии).</w:t>
      </w:r>
    </w:p>
    <w:p w:rsidR="002717BF" w:rsidRPr="002717BF" w:rsidRDefault="002717BF" w:rsidP="002717BF">
      <w:pPr>
        <w:suppressAutoHyphens/>
        <w:ind w:left="360"/>
        <w:rPr>
          <w:b/>
          <w:bCs/>
          <w:kern w:val="2"/>
          <w:lang w:eastAsia="ar-SA"/>
        </w:rPr>
      </w:pPr>
      <w:r w:rsidRPr="002717BF">
        <w:rPr>
          <w:b/>
          <w:bCs/>
          <w:kern w:val="2"/>
          <w:lang w:eastAsia="ar-SA"/>
        </w:rPr>
        <w:t>Требования к сроку и (или) объему предоставленных гарантий качества Товара</w:t>
      </w:r>
    </w:p>
    <w:p w:rsidR="002717BF" w:rsidRPr="002717BF" w:rsidRDefault="002717BF" w:rsidP="002717BF">
      <w:pPr>
        <w:widowControl w:val="0"/>
        <w:suppressAutoHyphens/>
        <w:autoSpaceDE w:val="0"/>
        <w:autoSpaceDN w:val="0"/>
        <w:adjustRightInd w:val="0"/>
        <w:ind w:firstLine="708"/>
        <w:rPr>
          <w:lang w:eastAsia="ar-SA"/>
        </w:rPr>
      </w:pPr>
      <w:r w:rsidRPr="002717BF">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2717BF" w:rsidRPr="002717BF" w:rsidRDefault="002717BF" w:rsidP="002717BF">
      <w:pPr>
        <w:widowControl w:val="0"/>
        <w:suppressAutoHyphens/>
        <w:autoSpaceDE w:val="0"/>
        <w:autoSpaceDN w:val="0"/>
        <w:adjustRightInd w:val="0"/>
        <w:ind w:firstLine="708"/>
        <w:rPr>
          <w:b/>
          <w:caps/>
          <w:lang w:eastAsia="ar-SA"/>
        </w:rPr>
      </w:pPr>
      <w:r w:rsidRPr="002717BF">
        <w:rPr>
          <w:lang w:eastAsia="ar-SA"/>
        </w:rPr>
        <w:t>Срок годности специальных средств при нарушениях функций выделения</w:t>
      </w:r>
      <w:r w:rsidR="0072599D">
        <w:rPr>
          <w:lang w:eastAsia="ar-SA"/>
        </w:rPr>
        <w:t xml:space="preserve"> </w:t>
      </w:r>
      <w:r w:rsidR="0072599D" w:rsidRPr="0072599D">
        <w:rPr>
          <w:lang w:eastAsia="ar-SA"/>
        </w:rPr>
        <w:t>(средств</w:t>
      </w:r>
      <w:r w:rsidR="0072599D">
        <w:rPr>
          <w:lang w:eastAsia="ar-SA"/>
        </w:rPr>
        <w:t>а для защиты кожи вокруг стомы)</w:t>
      </w:r>
      <w:r w:rsidRPr="002717BF">
        <w:rPr>
          <w:lang w:eastAsia="ar-SA"/>
        </w:rPr>
        <w:t xml:space="preserve"> - должен быть не менее 12 месяцев с момента изготовления Товара.</w:t>
      </w:r>
    </w:p>
    <w:p w:rsidR="00640ED0" w:rsidRPr="00720BD3" w:rsidRDefault="00640ED0" w:rsidP="00640ED0">
      <w:pPr>
        <w:ind w:firstLine="720"/>
      </w:pPr>
      <w:r w:rsidRPr="00720BD3">
        <w:rPr>
          <w:b/>
        </w:rPr>
        <w:t>Сроки пользования:</w:t>
      </w:r>
      <w:r w:rsidRPr="00720BD3">
        <w:t xml:space="preserve"> Товар</w:t>
      </w:r>
      <w:r w:rsidR="008F69C4">
        <w:t xml:space="preserve"> должен име</w:t>
      </w:r>
      <w:r w:rsidRPr="00720BD3">
        <w:t>т</w:t>
      </w:r>
      <w:r w:rsidR="008F69C4">
        <w:t>ь</w:t>
      </w:r>
      <w:r w:rsidRPr="00720BD3">
        <w:t xml:space="preserve"> установленный производителем срок пользования, который со дня подписания Акта приема-передачи Товара Получателем, </w:t>
      </w:r>
      <w:r w:rsidR="008F69C4" w:rsidRPr="008F69C4">
        <w:t xml:space="preserve">должен быть не менее срока </w:t>
      </w:r>
      <w:r w:rsidRPr="00720BD3">
        <w:t>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8F69C4" w:rsidRDefault="00640ED0" w:rsidP="00640ED0">
      <w:pPr>
        <w:ind w:firstLine="720"/>
        <w:rPr>
          <w:color w:val="000000"/>
        </w:rPr>
      </w:pPr>
      <w:r w:rsidRPr="00720BD3">
        <w:rPr>
          <w:b/>
          <w:color w:val="000000"/>
        </w:rPr>
        <w:t>Сроки поставки:</w:t>
      </w:r>
      <w:r w:rsidRPr="00720BD3">
        <w:rPr>
          <w:color w:val="000000"/>
        </w:rPr>
        <w:t xml:space="preserve"> </w:t>
      </w:r>
      <w:r w:rsidR="008F69C4" w:rsidRPr="008F69C4">
        <w:rPr>
          <w:color w:val="000000"/>
        </w:rPr>
        <w:t xml:space="preserve">В течение 10 (десяти) рабочих дней после заключения контракта на склад поставщика, расположенный на территории РСО-Алания, должно быть поставлено не менее 100 (ста)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31 марта 2023 года, на основании Направления в течение </w:t>
      </w:r>
      <w:r w:rsidR="00304F8B">
        <w:rPr>
          <w:color w:val="000000"/>
        </w:rPr>
        <w:t>3</w:t>
      </w:r>
      <w:r w:rsidR="008F69C4" w:rsidRPr="008F69C4">
        <w:rPr>
          <w:color w:val="000000"/>
        </w:rPr>
        <w:t>0 (</w:t>
      </w:r>
      <w:r w:rsidR="00304F8B">
        <w:rPr>
          <w:color w:val="000000"/>
        </w:rPr>
        <w:t>три</w:t>
      </w:r>
      <w:r w:rsidR="008F69C4" w:rsidRPr="008F69C4">
        <w:rPr>
          <w:color w:val="000000"/>
        </w:rPr>
        <w:t>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p>
    <w:p w:rsidR="00640ED0" w:rsidRPr="00720BD3" w:rsidRDefault="00640ED0" w:rsidP="00640ED0">
      <w:pPr>
        <w:ind w:firstLine="720"/>
      </w:pPr>
      <w:r w:rsidRPr="00720BD3">
        <w:rPr>
          <w:b/>
          <w:color w:val="000000"/>
        </w:rPr>
        <w:t>Место поставки:</w:t>
      </w:r>
      <w:r w:rsidRPr="00720BD3">
        <w:rPr>
          <w:color w:val="000000"/>
        </w:rPr>
        <w:t xml:space="preserve"> Российская Федерация, Республика Северная Осетия-Алания. </w:t>
      </w:r>
      <w:r w:rsidRPr="00720BD3">
        <w:t>Поставка осуществляется по месту нахождения Получателя или по месту нахождения пункта (пунктов) выдачи, организованных Поставщиком.</w:t>
      </w:r>
    </w:p>
    <w:p w:rsidR="00E741F1" w:rsidRPr="00720BD3" w:rsidRDefault="00E741F1" w:rsidP="00E741F1">
      <w:pPr>
        <w:widowControl w:val="0"/>
        <w:suppressAutoHyphens/>
        <w:autoSpaceDE w:val="0"/>
        <w:autoSpaceDN w:val="0"/>
        <w:adjustRightInd w:val="0"/>
        <w:spacing w:line="100" w:lineRule="atLeast"/>
        <w:ind w:firstLine="567"/>
        <w:rPr>
          <w:kern w:val="2"/>
          <w:lang w:eastAsia="ar-SA"/>
        </w:rPr>
      </w:pPr>
      <w:r w:rsidRPr="00720BD3">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720BD3" w:rsidRDefault="00E741F1" w:rsidP="00E741F1">
      <w:pPr>
        <w:tabs>
          <w:tab w:val="left" w:pos="708"/>
        </w:tabs>
        <w:autoSpaceDE w:val="0"/>
        <w:autoSpaceDN w:val="0"/>
        <w:adjustRightInd w:val="0"/>
        <w:ind w:firstLine="567"/>
        <w:rPr>
          <w:b/>
          <w:i/>
          <w:color w:val="000000" w:themeColor="text1"/>
          <w:u w:val="single"/>
        </w:rPr>
      </w:pPr>
      <w:r w:rsidRPr="00720BD3">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720BD3">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720BD3" w:rsidRDefault="00273703" w:rsidP="00CF2049">
      <w:pPr>
        <w:pStyle w:val="a7"/>
        <w:tabs>
          <w:tab w:val="left" w:pos="-142"/>
          <w:tab w:val="left" w:pos="10773"/>
        </w:tabs>
        <w:spacing w:after="0"/>
        <w:ind w:firstLine="567"/>
        <w:rPr>
          <w:b/>
          <w:caps/>
        </w:rPr>
      </w:pPr>
    </w:p>
    <w:sectPr w:rsidR="00273703" w:rsidRPr="00720BD3" w:rsidSect="0072599D">
      <w:pgSz w:w="11906" w:h="16838"/>
      <w:pgMar w:top="284" w:right="42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2F" w:rsidRDefault="008F1B2F" w:rsidP="00273703">
      <w:r>
        <w:separator/>
      </w:r>
    </w:p>
  </w:endnote>
  <w:endnote w:type="continuationSeparator" w:id="0">
    <w:p w:rsidR="008F1B2F" w:rsidRDefault="008F1B2F"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2F" w:rsidRDefault="008F1B2F" w:rsidP="00273703">
      <w:r>
        <w:separator/>
      </w:r>
    </w:p>
  </w:footnote>
  <w:footnote w:type="continuationSeparator" w:id="0">
    <w:p w:rsidR="008F1B2F" w:rsidRDefault="008F1B2F"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66406"/>
    <w:rsid w:val="000844A3"/>
    <w:rsid w:val="000A60A7"/>
    <w:rsid w:val="00130800"/>
    <w:rsid w:val="00131EC9"/>
    <w:rsid w:val="00133A90"/>
    <w:rsid w:val="00196DFF"/>
    <w:rsid w:val="001F65E9"/>
    <w:rsid w:val="002717BF"/>
    <w:rsid w:val="00272B79"/>
    <w:rsid w:val="00273703"/>
    <w:rsid w:val="002A59BE"/>
    <w:rsid w:val="002D0473"/>
    <w:rsid w:val="002E4703"/>
    <w:rsid w:val="00304F8B"/>
    <w:rsid w:val="00311831"/>
    <w:rsid w:val="003742F6"/>
    <w:rsid w:val="003A11A1"/>
    <w:rsid w:val="003E516D"/>
    <w:rsid w:val="0043532F"/>
    <w:rsid w:val="00473986"/>
    <w:rsid w:val="005003A4"/>
    <w:rsid w:val="00524869"/>
    <w:rsid w:val="00531356"/>
    <w:rsid w:val="00545A61"/>
    <w:rsid w:val="005B1575"/>
    <w:rsid w:val="006110B4"/>
    <w:rsid w:val="00640ED0"/>
    <w:rsid w:val="00697956"/>
    <w:rsid w:val="007058AA"/>
    <w:rsid w:val="00720BD3"/>
    <w:rsid w:val="0072599D"/>
    <w:rsid w:val="00777487"/>
    <w:rsid w:val="007E3578"/>
    <w:rsid w:val="007F1DB6"/>
    <w:rsid w:val="00811B6A"/>
    <w:rsid w:val="00847BA6"/>
    <w:rsid w:val="008B0FB1"/>
    <w:rsid w:val="008F1B2F"/>
    <w:rsid w:val="008F69C4"/>
    <w:rsid w:val="00937E38"/>
    <w:rsid w:val="009511F5"/>
    <w:rsid w:val="00985B59"/>
    <w:rsid w:val="00985C7C"/>
    <w:rsid w:val="009A59E2"/>
    <w:rsid w:val="009C1023"/>
    <w:rsid w:val="009D12E9"/>
    <w:rsid w:val="009E1699"/>
    <w:rsid w:val="00A16C18"/>
    <w:rsid w:val="00A170AB"/>
    <w:rsid w:val="00A428A8"/>
    <w:rsid w:val="00AB338A"/>
    <w:rsid w:val="00AF0211"/>
    <w:rsid w:val="00B4098F"/>
    <w:rsid w:val="00BB7219"/>
    <w:rsid w:val="00C82CB8"/>
    <w:rsid w:val="00C96049"/>
    <w:rsid w:val="00CE4432"/>
    <w:rsid w:val="00CE5166"/>
    <w:rsid w:val="00CF2049"/>
    <w:rsid w:val="00D15961"/>
    <w:rsid w:val="00D268BD"/>
    <w:rsid w:val="00D6697B"/>
    <w:rsid w:val="00D84451"/>
    <w:rsid w:val="00DA23FB"/>
    <w:rsid w:val="00DC7CC0"/>
    <w:rsid w:val="00E07BD4"/>
    <w:rsid w:val="00E20082"/>
    <w:rsid w:val="00E404C3"/>
    <w:rsid w:val="00E741F1"/>
    <w:rsid w:val="00EA0D49"/>
    <w:rsid w:val="00EC2662"/>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 w:type="paragraph" w:customStyle="1" w:styleId="formattext">
    <w:name w:val="formattext"/>
    <w:basedOn w:val="a"/>
    <w:rsid w:val="00847BA6"/>
    <w:pPr>
      <w:spacing w:before="100" w:beforeAutospacing="1" w:after="100" w:afterAutospacing="1"/>
      <w:jc w:val="left"/>
    </w:pPr>
  </w:style>
  <w:style w:type="paragraph" w:customStyle="1" w:styleId="aa">
    <w:name w:val="Заголовок"/>
    <w:basedOn w:val="a"/>
    <w:next w:val="a7"/>
    <w:rsid w:val="00847BA6"/>
    <w:pPr>
      <w:keepNext/>
      <w:suppressAutoHyphens/>
      <w:spacing w:before="240" w:after="120"/>
      <w:jc w:val="left"/>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IT</cp:lastModifiedBy>
  <cp:revision>29</cp:revision>
  <dcterms:created xsi:type="dcterms:W3CDTF">2022-08-12T13:05:00Z</dcterms:created>
  <dcterms:modified xsi:type="dcterms:W3CDTF">2022-12-23T07:54:00Z</dcterms:modified>
</cp:coreProperties>
</file>