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8" w:rsidRDefault="00AE3BA8"/>
    <w:p w:rsidR="001D7739" w:rsidRDefault="00DE4895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средств пр</w:t>
            </w:r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Р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Р 58235-2018 «Специальные средства при нарушении функции выделения. Термины и определения. Классификация», ГОСТа Р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>. Характеристики и основные требования. 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E43046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</w:t>
            </w:r>
            <w:r w:rsidRPr="00B314A3">
              <w:rPr>
                <w:sz w:val="22"/>
                <w:szCs w:val="22"/>
              </w:rPr>
              <w:t>«</w:t>
            </w:r>
            <w:r w:rsidR="00EB3AB1" w:rsidRPr="00B314A3">
              <w:rPr>
                <w:sz w:val="22"/>
                <w:szCs w:val="22"/>
              </w:rPr>
              <w:t>3</w:t>
            </w:r>
            <w:r w:rsidR="00E43046">
              <w:rPr>
                <w:sz w:val="22"/>
                <w:szCs w:val="22"/>
              </w:rPr>
              <w:t>1</w:t>
            </w:r>
            <w:r w:rsidRPr="00B314A3">
              <w:rPr>
                <w:sz w:val="22"/>
                <w:szCs w:val="22"/>
              </w:rPr>
              <w:t xml:space="preserve">» </w:t>
            </w:r>
            <w:r w:rsidR="00E43046">
              <w:rPr>
                <w:sz w:val="22"/>
                <w:szCs w:val="22"/>
              </w:rPr>
              <w:t>марта</w:t>
            </w:r>
            <w:r w:rsidRPr="00B314A3">
              <w:rPr>
                <w:sz w:val="22"/>
                <w:szCs w:val="22"/>
              </w:rPr>
              <w:t xml:space="preserve"> 202</w:t>
            </w:r>
            <w:r w:rsidR="00E43046">
              <w:rPr>
                <w:sz w:val="22"/>
                <w:szCs w:val="22"/>
              </w:rPr>
              <w:t>3</w:t>
            </w:r>
            <w:r w:rsidRPr="00B314A3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55"/>
        <w:gridCol w:w="4394"/>
        <w:gridCol w:w="2694"/>
      </w:tblGrid>
      <w:tr w:rsidR="00DE4895" w:rsidRPr="00F86B49" w:rsidTr="00DE4895">
        <w:trPr>
          <w:trHeight w:val="887"/>
        </w:trPr>
        <w:tc>
          <w:tcPr>
            <w:tcW w:w="531" w:type="dxa"/>
          </w:tcPr>
          <w:p w:rsidR="00DE4895" w:rsidRPr="00FE20CC" w:rsidRDefault="00DE4895" w:rsidP="00F43D61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DE4895" w:rsidRPr="00FE20CC" w:rsidRDefault="00DE4895" w:rsidP="00F43D61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п/п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DE4895" w:rsidRPr="00FE20CC" w:rsidRDefault="00DE4895" w:rsidP="008C7FF0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Классификацией ТСР (изделий) в рамках федерального перечня </w:t>
            </w:r>
            <w:r w:rsidRPr="00FE20CC">
              <w:rPr>
                <w:sz w:val="20"/>
                <w:szCs w:val="20"/>
              </w:rPr>
              <w:lastRenderedPageBreak/>
              <w:t>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4895" w:rsidRPr="00FE20CC" w:rsidRDefault="00DE4895" w:rsidP="008C7FF0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4895" w:rsidRPr="00FE20CC" w:rsidRDefault="00DE4895" w:rsidP="008C7FF0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DE4895" w:rsidRPr="00F86B49" w:rsidTr="00DE4895">
        <w:trPr>
          <w:trHeight w:val="972"/>
        </w:trPr>
        <w:tc>
          <w:tcPr>
            <w:tcW w:w="531" w:type="dxa"/>
          </w:tcPr>
          <w:p w:rsidR="00DE4895" w:rsidRPr="00B737C5" w:rsidRDefault="00DE4895" w:rsidP="00FE20C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3155" w:type="dxa"/>
            <w:shd w:val="clear" w:color="auto" w:fill="auto"/>
          </w:tcPr>
          <w:p w:rsidR="00DE4895" w:rsidRPr="00B737C5" w:rsidRDefault="00DE4895" w:rsidP="00FE20CC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737C5">
              <w:rPr>
                <w:sz w:val="18"/>
                <w:szCs w:val="18"/>
                <w:lang w:eastAsia="ar-SA"/>
              </w:rPr>
              <w:t>21-01-01. Однокомпонентный дренируемый калоприемник со встроенной плоской пластиной</w:t>
            </w:r>
          </w:p>
        </w:tc>
        <w:tc>
          <w:tcPr>
            <w:tcW w:w="4394" w:type="dxa"/>
            <w:shd w:val="clear" w:color="auto" w:fill="auto"/>
          </w:tcPr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стомы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и использования в качестве емкости для сбора фекалий после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колостомии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или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илеостомии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(выделения обычно имеют жидкую консистенцию).</w:t>
            </w:r>
          </w:p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стомный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гипоаллергенной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стому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.</w:t>
            </w:r>
          </w:p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DE4895" w:rsidRPr="00B737C5" w:rsidRDefault="00DE4895" w:rsidP="00C85A84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2694" w:type="dxa"/>
            <w:shd w:val="clear" w:color="auto" w:fill="auto"/>
          </w:tcPr>
          <w:p w:rsidR="00DE4895" w:rsidRPr="00B737C5" w:rsidRDefault="00DE4895" w:rsidP="00402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47 250</w:t>
            </w:r>
          </w:p>
        </w:tc>
      </w:tr>
      <w:tr w:rsidR="00DE4895" w:rsidRPr="00F86B49" w:rsidTr="00DE4895">
        <w:trPr>
          <w:trHeight w:val="699"/>
        </w:trPr>
        <w:tc>
          <w:tcPr>
            <w:tcW w:w="531" w:type="dxa"/>
          </w:tcPr>
          <w:p w:rsidR="00DE4895" w:rsidRPr="00B737C5" w:rsidRDefault="00DE4895" w:rsidP="00FE20C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155" w:type="dxa"/>
            <w:shd w:val="clear" w:color="auto" w:fill="auto"/>
          </w:tcPr>
          <w:p w:rsidR="00DE4895" w:rsidRPr="00B737C5" w:rsidRDefault="00DE4895" w:rsidP="00BC0897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737C5">
              <w:rPr>
                <w:sz w:val="18"/>
                <w:szCs w:val="18"/>
                <w:lang w:eastAsia="ar-SA"/>
              </w:rPr>
              <w:t>21-01-01. Однокомпонентный дренируемый калоприемник со встроенной плоской пластиной</w:t>
            </w:r>
          </w:p>
        </w:tc>
        <w:tc>
          <w:tcPr>
            <w:tcW w:w="4394" w:type="dxa"/>
            <w:shd w:val="clear" w:color="auto" w:fill="auto"/>
          </w:tcPr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стомы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и использования в качестве емкости для сбора фекалий после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колостомии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или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илеостомии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(выделения обычно имеют жидкую консистенцию).</w:t>
            </w:r>
          </w:p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стомный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гипоаллергенной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стому</w:t>
            </w:r>
            <w:proofErr w:type="spellEnd"/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.</w:t>
            </w:r>
          </w:p>
          <w:p w:rsidR="00DE4895" w:rsidRPr="00C85A84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DE4895" w:rsidRPr="005F1E92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</w:rPr>
            </w:pPr>
            <w:r w:rsidRPr="00C85A84">
              <w:rPr>
                <w:rFonts w:ascii="Times New Roman CYR" w:eastAsia="Calibri" w:hAnsi="Times New Roman CYR" w:cs="Times New Roman CYR"/>
                <w:sz w:val="18"/>
                <w:szCs w:val="18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2694" w:type="dxa"/>
            <w:shd w:val="clear" w:color="auto" w:fill="auto"/>
          </w:tcPr>
          <w:p w:rsidR="00DE4895" w:rsidRPr="00B737C5" w:rsidRDefault="00DE4895" w:rsidP="00402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20 250</w:t>
            </w:r>
          </w:p>
        </w:tc>
      </w:tr>
      <w:tr w:rsidR="00DE4895" w:rsidRPr="00F86B49" w:rsidTr="00DE4895">
        <w:trPr>
          <w:trHeight w:val="699"/>
        </w:trPr>
        <w:tc>
          <w:tcPr>
            <w:tcW w:w="531" w:type="dxa"/>
          </w:tcPr>
          <w:p w:rsidR="00DE4895" w:rsidRDefault="00DE4895" w:rsidP="00FE20CC">
            <w:pPr>
              <w:widowControl w:val="0"/>
              <w:tabs>
                <w:tab w:val="left" w:pos="360"/>
              </w:tabs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55" w:type="dxa"/>
            <w:shd w:val="clear" w:color="auto" w:fill="auto"/>
          </w:tcPr>
          <w:p w:rsidR="00DE4895" w:rsidRPr="00B737C5" w:rsidRDefault="00DE4895" w:rsidP="00BC0897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DE4895" w:rsidRPr="00DE4895" w:rsidRDefault="00DE4895" w:rsidP="00C85A84">
            <w:pPr>
              <w:widowControl w:val="0"/>
              <w:jc w:val="both"/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</w:pPr>
            <w:r w:rsidRPr="00DE4895">
              <w:rPr>
                <w:rFonts w:ascii="Times New Roman CYR" w:eastAsia="Calibri" w:hAnsi="Times New Roman CYR" w:cs="Times New Roman CYR"/>
                <w:b/>
                <w:sz w:val="18"/>
                <w:szCs w:val="18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E4895" w:rsidRDefault="00DE4895" w:rsidP="00402B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67 500</w:t>
            </w:r>
          </w:p>
        </w:tc>
      </w:tr>
    </w:tbl>
    <w:p w:rsidR="00384875" w:rsidRDefault="00384875" w:rsidP="00DE4895">
      <w:pPr>
        <w:tabs>
          <w:tab w:val="left" w:pos="900"/>
        </w:tabs>
      </w:pPr>
      <w:bookmarkStart w:id="0" w:name="_GoBack"/>
      <w:bookmarkEnd w:id="0"/>
    </w:p>
    <w:sectPr w:rsidR="00384875" w:rsidSect="001C0A33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6134"/>
    <w:rsid w:val="000243F1"/>
    <w:rsid w:val="00061BE4"/>
    <w:rsid w:val="000652D8"/>
    <w:rsid w:val="00072B69"/>
    <w:rsid w:val="000A4947"/>
    <w:rsid w:val="000B6C55"/>
    <w:rsid w:val="000C2A5B"/>
    <w:rsid w:val="000D3D2F"/>
    <w:rsid w:val="001149DD"/>
    <w:rsid w:val="00171926"/>
    <w:rsid w:val="00181E12"/>
    <w:rsid w:val="001A2AF2"/>
    <w:rsid w:val="001B267A"/>
    <w:rsid w:val="001C0A33"/>
    <w:rsid w:val="001C2BC1"/>
    <w:rsid w:val="001D7739"/>
    <w:rsid w:val="00202BDE"/>
    <w:rsid w:val="00221C3C"/>
    <w:rsid w:val="00223906"/>
    <w:rsid w:val="00243336"/>
    <w:rsid w:val="002622DD"/>
    <w:rsid w:val="002627AE"/>
    <w:rsid w:val="00294863"/>
    <w:rsid w:val="002A3526"/>
    <w:rsid w:val="002A74A2"/>
    <w:rsid w:val="002C59E5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02BB2"/>
    <w:rsid w:val="00432C77"/>
    <w:rsid w:val="00445E60"/>
    <w:rsid w:val="0045750D"/>
    <w:rsid w:val="004626BD"/>
    <w:rsid w:val="00466683"/>
    <w:rsid w:val="00467C9E"/>
    <w:rsid w:val="004742A0"/>
    <w:rsid w:val="00496A35"/>
    <w:rsid w:val="004B43DF"/>
    <w:rsid w:val="004D3034"/>
    <w:rsid w:val="00545740"/>
    <w:rsid w:val="00561BD5"/>
    <w:rsid w:val="0057281A"/>
    <w:rsid w:val="005A092E"/>
    <w:rsid w:val="005B21C2"/>
    <w:rsid w:val="005F1E92"/>
    <w:rsid w:val="0060233E"/>
    <w:rsid w:val="00627DD9"/>
    <w:rsid w:val="0063588E"/>
    <w:rsid w:val="00635EF2"/>
    <w:rsid w:val="006434C7"/>
    <w:rsid w:val="00643FD1"/>
    <w:rsid w:val="00645633"/>
    <w:rsid w:val="0066188B"/>
    <w:rsid w:val="006646DB"/>
    <w:rsid w:val="0066623B"/>
    <w:rsid w:val="006823D1"/>
    <w:rsid w:val="00687A8A"/>
    <w:rsid w:val="006A1458"/>
    <w:rsid w:val="006B724B"/>
    <w:rsid w:val="006C4398"/>
    <w:rsid w:val="006F2BA3"/>
    <w:rsid w:val="00717B55"/>
    <w:rsid w:val="00744284"/>
    <w:rsid w:val="0074789F"/>
    <w:rsid w:val="00752719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61D0F"/>
    <w:rsid w:val="008A1E70"/>
    <w:rsid w:val="0091331A"/>
    <w:rsid w:val="009557FF"/>
    <w:rsid w:val="009756FB"/>
    <w:rsid w:val="009770CC"/>
    <w:rsid w:val="0098715C"/>
    <w:rsid w:val="00992013"/>
    <w:rsid w:val="009A39B2"/>
    <w:rsid w:val="009C749A"/>
    <w:rsid w:val="009E09D3"/>
    <w:rsid w:val="009F7AF6"/>
    <w:rsid w:val="00A33923"/>
    <w:rsid w:val="00A413C1"/>
    <w:rsid w:val="00A5679F"/>
    <w:rsid w:val="00A70157"/>
    <w:rsid w:val="00A901AE"/>
    <w:rsid w:val="00AB163B"/>
    <w:rsid w:val="00AC5CDB"/>
    <w:rsid w:val="00AE3BA8"/>
    <w:rsid w:val="00AE4FC9"/>
    <w:rsid w:val="00AF62B7"/>
    <w:rsid w:val="00AF668B"/>
    <w:rsid w:val="00B138EC"/>
    <w:rsid w:val="00B2625D"/>
    <w:rsid w:val="00B314A3"/>
    <w:rsid w:val="00B737C5"/>
    <w:rsid w:val="00B82C61"/>
    <w:rsid w:val="00BA49A5"/>
    <w:rsid w:val="00C063AD"/>
    <w:rsid w:val="00C21930"/>
    <w:rsid w:val="00C25E23"/>
    <w:rsid w:val="00C30EBC"/>
    <w:rsid w:val="00C35D44"/>
    <w:rsid w:val="00C47F18"/>
    <w:rsid w:val="00C85A84"/>
    <w:rsid w:val="00C90DB2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40186"/>
    <w:rsid w:val="00D43CDC"/>
    <w:rsid w:val="00D508F1"/>
    <w:rsid w:val="00D510AC"/>
    <w:rsid w:val="00D75EBD"/>
    <w:rsid w:val="00D978FC"/>
    <w:rsid w:val="00DA5286"/>
    <w:rsid w:val="00DA5E62"/>
    <w:rsid w:val="00DB539D"/>
    <w:rsid w:val="00DC6445"/>
    <w:rsid w:val="00DD2366"/>
    <w:rsid w:val="00DE4895"/>
    <w:rsid w:val="00E02511"/>
    <w:rsid w:val="00E43046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5662-A62B-4BE6-B949-6B259434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2022-11-08T11:34:00Z</cp:lastPrinted>
  <dcterms:created xsi:type="dcterms:W3CDTF">2022-12-08T09:24:00Z</dcterms:created>
  <dcterms:modified xsi:type="dcterms:W3CDTF">2022-12-08T09:29:00Z</dcterms:modified>
</cp:coreProperties>
</file>