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40" w:rsidRDefault="00CA6D40" w:rsidP="00961603">
      <w:pPr>
        <w:pStyle w:val="5"/>
        <w:keepNext w:val="0"/>
        <w:keepLines w:val="0"/>
        <w:widowControl w:val="0"/>
        <w:spacing w:before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Приложение № 1</w:t>
      </w:r>
    </w:p>
    <w:p w:rsidR="00CA6D40" w:rsidRDefault="00CA6D40" w:rsidP="00961603">
      <w:pPr>
        <w:pStyle w:val="5"/>
        <w:keepNext w:val="0"/>
        <w:keepLines w:val="0"/>
        <w:widowControl w:val="0"/>
        <w:spacing w:before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к Извещению о проведении электронного аукциона</w:t>
      </w:r>
    </w:p>
    <w:p w:rsidR="00ED5836" w:rsidRPr="00CA6D40" w:rsidRDefault="00ED5836" w:rsidP="00961603">
      <w:pPr>
        <w:widowControl w:val="0"/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D40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tbl>
      <w:tblPr>
        <w:tblStyle w:val="a3"/>
        <w:tblW w:w="14962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682"/>
        <w:gridCol w:w="959"/>
        <w:gridCol w:w="6072"/>
        <w:gridCol w:w="4397"/>
        <w:gridCol w:w="854"/>
        <w:gridCol w:w="998"/>
      </w:tblGrid>
      <w:tr w:rsidR="004E7D1E" w:rsidTr="00961603">
        <w:tc>
          <w:tcPr>
            <w:tcW w:w="1682" w:type="dxa"/>
          </w:tcPr>
          <w:p w:rsidR="004E7D1E" w:rsidRPr="003E577A" w:rsidRDefault="004E7D1E" w:rsidP="00961603">
            <w:pPr>
              <w:pStyle w:val="1"/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1254CB">
              <w:rPr>
                <w:sz w:val="16"/>
                <w:szCs w:val="16"/>
              </w:rPr>
              <w:t>Наименование Товара (по 86 н) (Наименование по КТРУ)</w:t>
            </w:r>
          </w:p>
        </w:tc>
        <w:tc>
          <w:tcPr>
            <w:tcW w:w="959" w:type="dxa"/>
          </w:tcPr>
          <w:p w:rsidR="004E7D1E" w:rsidRPr="003E577A" w:rsidRDefault="004E7D1E" w:rsidP="00961603">
            <w:pPr>
              <w:widowControl w:val="0"/>
              <w:ind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КТРУ/ОКПД 2</w:t>
            </w:r>
          </w:p>
        </w:tc>
        <w:tc>
          <w:tcPr>
            <w:tcW w:w="10469" w:type="dxa"/>
            <w:gridSpan w:val="2"/>
          </w:tcPr>
          <w:p w:rsidR="004E7D1E" w:rsidRPr="003E577A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854" w:type="dxa"/>
          </w:tcPr>
          <w:p w:rsidR="004E7D1E" w:rsidRPr="003E577A" w:rsidRDefault="004E7D1E" w:rsidP="00961603">
            <w:pPr>
              <w:widowControl w:val="0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8" w:type="dxa"/>
          </w:tcPr>
          <w:p w:rsidR="004E7D1E" w:rsidRPr="003E577A" w:rsidRDefault="004E7D1E" w:rsidP="00961603">
            <w:pPr>
              <w:widowControl w:val="0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  мм.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51 мм, с фланцем для крепления мешка, соответствующим фланцу мешка, Диаметр фланца – не менее 60 мм;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97" w:type="dxa"/>
            <w:vMerge w:val="restart"/>
          </w:tcPr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Изделия должны быть разработаны, изготовлены и упакованы таким образом, чтобы их технические характеристики и эксплуатационные свойства в период использования по назначению не испытывали вредного воздействия при транспортировании и хранении изделий;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изделия должны быть снабжены этикеткой (маркировкой), информирующей пользователя об изготовителе, области применения продукции, о сроках хранения, а также предупреждающей о мерах безопасности при эксплуатации;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хранение должно осуществляться в соответствии с требованиями, предъявляемыми к данной категории изделий;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Вся информация на упаковке должна быть представлена на русском языке.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обеспечивающую возможность правильного выбора товаров.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Информация в обязательном порядке должна содержать: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наименование товара;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место нахождения (адрес), фирменное наименование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– наименование страны происхождения товара;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основных потребительских свойствах товара;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также, с учетом особенностей конкретного вида товара, сведения о его назначении, способе и условиях применения, действии и оказываемом эффекте, ограничениях (противопоказаниях) для применения;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не допускается применение изделий, если нарушена упаковка;</w:t>
            </w:r>
          </w:p>
          <w:p w:rsidR="004E7D1E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930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Поставщик должен гарантировать, что поставляемый по Требование к сроку годности товара: срок годности товара на момент поставки должен составлять не менее 12 месяцев.</w:t>
            </w:r>
          </w:p>
          <w:p w:rsidR="004E7D1E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930788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      </w:r>
          </w:p>
          <w:p w:rsidR="004E7D1E" w:rsidRPr="00930788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Технические характеристики и эксплуатационные свойства изделия не должны оказывать такое вредное воздействие, которое подвергало бы риску безопасность пользователя или других лиц в течение срока службы изделия, указанного изготовителем, при эксплуатации в соответствии с инструкцией изготовителя.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мешок дренируемый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60 мм.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 менее 4,5 мм.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51 мм, с фланцем для крепления мешка, соответствующим фланцу мешка, Диаметр фланца – не менее 60 мм;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мешок дренируемый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60 мм.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 менее 4,5 мм.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33 мм, с фланцем для крепления мешка, соответствующим фланцу мешка, Диаметр фланца – не менее 50 мм;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мешок дренируемый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50 мм.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21-01-25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(с катетером)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нефростомии</w:t>
            </w:r>
            <w:proofErr w:type="spellEnd"/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(Катетер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нефростомический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32.50.13.110-00003233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J-типа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коннектором для присоединения к мочеприемнику предназначен для отведения мочи непосредственно из лоханки почки на кожу через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нефростомический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дренаж. Катетер в форме «свиной хвост» с атравматическими отверстиями должен быть из полиуретана. В комплекте должен быть универсальный переходник типа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Луэр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Гладкая поверхность для уменьшения образования инкрустации. Размер катетера: в зависимости от потребности Получателя. Не менее 4 типоразмеров.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4E7D1E" w:rsidTr="00961603">
        <w:trPr>
          <w:trHeight w:val="251"/>
        </w:trPr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21-01-26 Катетер мочеточниковый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Набор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стента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наружного мочеточникового типа "свиной хвост" должен состоять из:</w:t>
            </w:r>
          </w:p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 -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стента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наружного типа ""свиной хвост"" диаметром 7СН длиной не менее 70см, из полиуретана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рентгеноконтрастного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 торцевым отверстием и отверстиями  на «свином хвосте», со съемным адаптером «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люер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 на проксимальном конце, градуировкой через 5 см на протяжении 50 см от дистального конца,</w:t>
            </w:r>
          </w:p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проводника прямого с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фиксированым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сердечником диаметром 0,038"" с тефлоновым покрытием, длиной не менее 150 см,  длина мягкого кончика не менее 3 см.</w:t>
            </w:r>
          </w:p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должен быть одноразовый в стерильной упаковке.</w:t>
            </w:r>
          </w:p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21-01-26 Катетер мочеточниковый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Одноходовый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безбалонный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урологический катетер, имеющий коннектор для соединения с мочеприемником. Катетер должен находиться в индивидуальной упаковке.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в форме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Pigtail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 размер 8СН, длина 45см, из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рентгеноконтрастного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полиуретана, мягкий, градуировка через 5 см, дистальный конец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атравматичный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открытый. Отверстия на 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Pigtail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 см вдоль дренажа. 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21-01-13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Пояс для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32.50.13.190-00006908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Пояс для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устройство, обеспечивающее дополнительную надежность крепления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теле.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Нестерильный эластичный пояс для дополнительной фиксации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регулируемый по длине со специальными крепежами для крепления к пластине или мешку калоприемника (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21-01-22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Катетер уретральный длительного пользования.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уретральный постоянный для дренажа/промывания)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32.50.13.190-00006893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Катетер уретральный длительного пользования, устанавливаемый в мочеиспускательный канал для отведения мочи из мочевого пузыря. Должен быть двухходовым (с одним ходом для раздувания баллона, вторым для присоединения к мешку-мочеприемнику) баллонным (баллон служит для удержания катетера внутри мочевого пузыря). Для длительного использования. Каждый катетер должен находиться в индивидуальной упаковке.  Все размеры диапазона от СН 6 по СН 30. Размер катетера: в зависимости от потребности Получателя. Не менее 13 типоразмеров.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21-01-23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Катетер уретральный постоянного пользования.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уретральный постоянный для дренажа)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32.50.13.190-00006892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Катетер уретральный постоянного пользования, устанавливаемый в мочеиспускательный канал для отведения мочи из мочевого пузыря. Должен быть двухходовым (с одним ходом для раздувания баллона, вторым для присоединения к мешку-мочеприемнику), баллонным (баллон служит для удержания катетера внутри мочевого пузыря). Для длительного использования. Каждый катетер должен находиться в индивидуальной упаковке.  Все размеры диапазона от СН 6 по СН 30. Размер катетера: в зависимости от потребности Получателя. Не менее 13 типоразмеров.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дренажный надлобковый)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32.50.13.110-00003234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предназначен для длительного дренирования полости мочевого пузыря через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цистостому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Должен быть двухходовым (с одним ходом для раздувания баллона, вторым для присоединения к мешку-мочеприемнику) баллонным (баллон служит для удержания катетера внутри мочевого пузыря), иметь дренажную воронку, отверстие для раздувания резинового баллона,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противовозвратный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клапан. Каждый катетер должен находиться в индивидуальной упаковке.  Все размеры диапазона от СН 6 по СН 30. Размер катетера: в зависимости от потребности Получателя. Не менее 13 типоразмеров.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21-01-24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дренажный надлобковый)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32.50.13.110-00003234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Катетеры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самоудерживающиеся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крупноголовчатые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катетеры из материалов высокого качества, предназначены для длительного дренирования мочевого пузыря через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цистостому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для дренажа надлобкового свища при урологических операциях и для проведения лечебных процедур. Должен иметь грибовидный закрытый дистальный конец, надежно фиксирующий катетер в мочевом пузыре после его установки, головка катетера должна иметь дренажные отверстия. Все размеры диапазона от СН 14 по СН 36. Размер катетера: в зависимости от потребности Получателя. Не менее 12 типоразмеров.</w:t>
            </w:r>
          </w:p>
        </w:tc>
        <w:tc>
          <w:tcPr>
            <w:tcW w:w="4397" w:type="dxa"/>
            <w:vMerge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21-01-05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Однокомпонентный дренируемый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 встроенной плоской пластиной. </w:t>
            </w: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  <w:p w:rsidR="004E7D1E" w:rsidRPr="00C84F3F" w:rsidRDefault="004E7D1E" w:rsidP="009616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Уроприемники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однокомпонентные дренируемые со встроенной плоской пластиной: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неразъемный герметичный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 многослойного, не пропускающего запах материала (пленки), с односторонним или двусторонним мягким нетканым покрытием, с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антирефлюксным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сливным клапанами;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встроенная адгезивная (клеевая) пластина должна быть плоская, должна быть на натуральной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гипоаллергенной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основе с защитным покрытием.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Максимальное 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 не менее 45 мм и не более 55мм.</w:t>
            </w:r>
          </w:p>
        </w:tc>
        <w:tc>
          <w:tcPr>
            <w:tcW w:w="4397" w:type="dxa"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</w:tr>
      <w:tr w:rsidR="004E7D1E" w:rsidTr="00961603">
        <w:tc>
          <w:tcPr>
            <w:tcW w:w="168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21-01-02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Однокомпонентный дренируемый калоприемник со встроенной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пластиной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однокомпонентный)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32.50.13.190-00006906 </w:t>
            </w:r>
          </w:p>
        </w:tc>
        <w:tc>
          <w:tcPr>
            <w:tcW w:w="6072" w:type="dxa"/>
          </w:tcPr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однокомпонентные дренируемые со встроенной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пластиной: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дренажным отверстием (портом), с встроенной застежкой для закрывания дренажного отверстия, с фильтром или без фильтра; со встроенной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адгезивной пластиной. </w:t>
            </w:r>
          </w:p>
          <w:p w:rsidR="004E7D1E" w:rsidRPr="00C84F3F" w:rsidRDefault="004E7D1E" w:rsidP="0096160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-встроенная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(для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во впадине и складке живота) на натуральной,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гипоаллергенной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гидроколлоидной основе, с защитным покрытием. Вырезаемое отверстие адгезивной пластины в диапазоне не менее 15 мм и не более 43 мм.</w:t>
            </w:r>
          </w:p>
        </w:tc>
        <w:tc>
          <w:tcPr>
            <w:tcW w:w="4397" w:type="dxa"/>
          </w:tcPr>
          <w:p w:rsidR="004E7D1E" w:rsidRPr="0058140B" w:rsidRDefault="004E7D1E" w:rsidP="00961603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DE4EB4" w:rsidRDefault="004E7D1E" w:rsidP="009616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4E7D1E" w:rsidTr="00961603"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7D1E" w:rsidRPr="0058140B" w:rsidRDefault="004E7D1E" w:rsidP="00961603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8140B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Всего: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7D1E" w:rsidRPr="0012418B" w:rsidRDefault="004E7D1E" w:rsidP="00961603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7D1E" w:rsidRPr="0012418B" w:rsidRDefault="004E7D1E" w:rsidP="00961603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D1E" w:rsidRPr="0012418B" w:rsidRDefault="004E7D1E" w:rsidP="00961603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7D1E" w:rsidRPr="0012418B" w:rsidRDefault="004E7D1E" w:rsidP="00961603">
            <w:pPr>
              <w:widowControl w:val="0"/>
              <w:jc w:val="center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7D1E" w:rsidRPr="0012418B" w:rsidRDefault="004E7D1E" w:rsidP="00961603">
            <w:pPr>
              <w:pStyle w:val="11"/>
              <w:keepNext w:val="0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9577</w:t>
            </w:r>
          </w:p>
        </w:tc>
      </w:tr>
    </w:tbl>
    <w:p w:rsidR="000C7A0F" w:rsidRPr="000C7A0F" w:rsidRDefault="00ED5836" w:rsidP="00961603">
      <w:pPr>
        <w:widowControl w:val="0"/>
        <w:tabs>
          <w:tab w:val="left" w:pos="708"/>
        </w:tabs>
        <w:ind w:left="-567" w:firstLine="709"/>
        <w:rPr>
          <w:rFonts w:eastAsia="Calibri"/>
          <w:bCs/>
        </w:rPr>
      </w:pPr>
      <w:r>
        <w:t xml:space="preserve">           </w:t>
      </w:r>
      <w:r w:rsidR="000C7A0F" w:rsidRP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Основные условия исполнения контракта, заключаемого по результатам закупки</w:t>
      </w:r>
      <w:r w:rsid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:</w:t>
      </w:r>
      <w:r w:rsidR="000C7A0F">
        <w:rPr>
          <w:rFonts w:eastAsia="Calibri"/>
          <w:bCs/>
        </w:rPr>
        <w:t xml:space="preserve"> 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Специальные средства при нарушениях функций выделения должны соответствовать требованиям национального стандарта Российской Федерации ГОСТ Р 58237-2022 «Средства ухода за кишечными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стомами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стомы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. Характеристики и основные требования. Методы испытаний», ГОСТ Р 52770-2016 «Изделия медицинские. Требования безопасности. Методы санитарно-химических и токсикологических испытаний», ГОСТ Р 58235-2022 «Специальные средства при нарушениях функции выделения. Термины и определения. Классификация», а в части наименования технических средств реабилитации приказ Министерства труда и социальной защиты Российской Федерации от 13 февраля 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</w:t>
      </w:r>
      <w:r w:rsid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ства Российской Федерации от 30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декабря 2005 года №2347-р».</w:t>
      </w:r>
      <w:r w:rsidR="000C7A0F" w:rsidRPr="00B26BFA">
        <w:t xml:space="preserve">  </w:t>
      </w:r>
    </w:p>
    <w:p w:rsidR="00192D2F" w:rsidRPr="00C52C5B" w:rsidRDefault="00192D2F" w:rsidP="00961603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поставки: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192D2F" w:rsidRPr="00C52C5B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по месту жительства (месту пребывания, ф</w:t>
      </w:r>
      <w:bookmarkStart w:id="0" w:name="_GoBack"/>
      <w:bookmarkEnd w:id="0"/>
      <w:r w:rsidRPr="00C52C5B">
        <w:rPr>
          <w:rFonts w:ascii="Times New Roman" w:hAnsi="Times New Roman" w:cs="Times New Roman"/>
          <w:sz w:val="24"/>
          <w:szCs w:val="24"/>
        </w:rPr>
        <w:t>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92D2F" w:rsidRPr="00C52C5B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7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192D2F" w:rsidRPr="00C52C5B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192D2F" w:rsidRPr="00C52C5B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192D2F" w:rsidRPr="00C52C5B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192D2F" w:rsidRPr="00C52C5B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A70FE6" w:rsidRDefault="00192D2F" w:rsidP="00961603">
      <w:pPr>
        <w:widowControl w:val="0"/>
        <w:ind w:firstLine="680"/>
        <w:jc w:val="both"/>
        <w:rPr>
          <w:b/>
          <w:bCs/>
          <w:i/>
          <w:color w:val="000000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  <w:r w:rsidR="00A70FE6" w:rsidRPr="00A70FE6">
        <w:rPr>
          <w:b/>
          <w:bCs/>
          <w:i/>
          <w:color w:val="000000"/>
          <w:sz w:val="24"/>
          <w:szCs w:val="24"/>
        </w:rPr>
        <w:t xml:space="preserve"> </w:t>
      </w:r>
    </w:p>
    <w:p w:rsidR="00A7171F" w:rsidRPr="00A7171F" w:rsidRDefault="00A70FE6" w:rsidP="00961603">
      <w:pPr>
        <w:widowControl w:val="0"/>
        <w:ind w:firstLine="68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0FE6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Требование к гарантийному сроку:</w:t>
      </w:r>
      <w:r w:rsidRPr="000678BD">
        <w:rPr>
          <w:b/>
          <w:bCs/>
          <w:color w:val="000000"/>
          <w:sz w:val="24"/>
          <w:szCs w:val="24"/>
        </w:rPr>
        <w:t xml:space="preserve"> </w:t>
      </w:r>
      <w:r w:rsidR="00A7171F" w:rsidRPr="00A7171F">
        <w:rPr>
          <w:rFonts w:ascii="Times New Roman" w:hAnsi="Times New Roman" w:cs="Times New Roman"/>
          <w:sz w:val="24"/>
          <w:szCs w:val="24"/>
        </w:rPr>
        <w:t>С</w:t>
      </w:r>
      <w:r w:rsidRPr="00A7171F">
        <w:rPr>
          <w:rFonts w:ascii="Times New Roman" w:hAnsi="Times New Roman" w:cs="Times New Roman"/>
          <w:sz w:val="24"/>
          <w:szCs w:val="24"/>
        </w:rPr>
        <w:t>р</w:t>
      </w:r>
      <w:r w:rsidRPr="00A70FE6">
        <w:rPr>
          <w:rFonts w:ascii="Times New Roman" w:eastAsia="Arial" w:hAnsi="Times New Roman" w:cs="Times New Roman"/>
          <w:sz w:val="24"/>
          <w:szCs w:val="24"/>
          <w:lang w:eastAsia="ar-SA"/>
        </w:rPr>
        <w:t>ок годности товара на момент поставки должен составлять не менее 12 месяцев.</w:t>
      </w:r>
      <w:r w:rsidRPr="00A717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7171F" w:rsidRPr="00A717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Товар является продукцией одноразовой, в связи с чем срок предоставления гарантии качества на Товар не устанавливается. </w:t>
      </w:r>
    </w:p>
    <w:p w:rsidR="00192D2F" w:rsidRPr="00A70FE6" w:rsidRDefault="00192D2F" w:rsidP="00961603">
      <w:pPr>
        <w:widowControl w:val="0"/>
        <w:ind w:firstLine="680"/>
        <w:jc w:val="both"/>
        <w:rPr>
          <w:color w:val="000000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Срок поставки Товара:</w:t>
      </w:r>
      <w:r w:rsidRPr="00BA6152">
        <w:rPr>
          <w:rFonts w:ascii="Times New Roman" w:hAnsi="Times New Roman" w:cs="Times New Roman"/>
          <w:b/>
          <w:i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с даты получения от Заказчика р</w:t>
      </w:r>
      <w:r w:rsidR="00930788">
        <w:rPr>
          <w:rFonts w:ascii="Times New Roman" w:hAnsi="Times New Roman" w:cs="Times New Roman"/>
          <w:sz w:val="24"/>
          <w:szCs w:val="24"/>
        </w:rPr>
        <w:t>еестра получателей Товара по "18</w:t>
      </w:r>
      <w:r w:rsidR="00ED5836">
        <w:rPr>
          <w:rFonts w:ascii="Times New Roman" w:hAnsi="Times New Roman" w:cs="Times New Roman"/>
          <w:sz w:val="24"/>
          <w:szCs w:val="24"/>
        </w:rPr>
        <w:t xml:space="preserve">" </w:t>
      </w:r>
      <w:r w:rsidR="00930788">
        <w:rPr>
          <w:rFonts w:ascii="Times New Roman" w:hAnsi="Times New Roman" w:cs="Times New Roman"/>
          <w:sz w:val="24"/>
          <w:szCs w:val="24"/>
        </w:rPr>
        <w:t>октября 2024</w:t>
      </w:r>
      <w:r w:rsidRPr="00C52C5B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</w:t>
      </w:r>
      <w:r w:rsidR="00AE04DD">
        <w:rPr>
          <w:rFonts w:ascii="Times New Roman" w:hAnsi="Times New Roman" w:cs="Times New Roman"/>
          <w:sz w:val="24"/>
          <w:szCs w:val="24"/>
        </w:rPr>
        <w:t>30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92D2F" w:rsidRPr="00BA6152" w:rsidRDefault="00192D2F" w:rsidP="00961603">
      <w:pPr>
        <w:pStyle w:val="ConsPlusNormal"/>
        <w:suppressAutoHyphens w:val="0"/>
        <w:ind w:firstLine="540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Место поставки Товара: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240145" w:rsidRDefault="00240145" w:rsidP="00961603">
      <w:pPr>
        <w:widowControl w:val="0"/>
        <w:ind w:right="-284"/>
        <w:jc w:val="both"/>
      </w:pPr>
    </w:p>
    <w:p w:rsidR="00ED5836" w:rsidRDefault="00ED5836" w:rsidP="00961603">
      <w:pPr>
        <w:widowControl w:val="0"/>
        <w:ind w:right="-284"/>
        <w:jc w:val="both"/>
      </w:pPr>
    </w:p>
    <w:p w:rsidR="0058140B" w:rsidRDefault="0058140B" w:rsidP="00961603">
      <w:pPr>
        <w:widowControl w:val="0"/>
        <w:ind w:right="-284"/>
        <w:jc w:val="both"/>
      </w:pPr>
    </w:p>
    <w:p w:rsidR="0058140B" w:rsidRPr="0058140B" w:rsidRDefault="0058140B" w:rsidP="00961603">
      <w:pPr>
        <w:widowControl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58140B" w:rsidRPr="0058140B" w:rsidSect="00232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DD" w:rsidRDefault="00AE04DD" w:rsidP="00740592">
      <w:pPr>
        <w:spacing w:after="0" w:line="240" w:lineRule="auto"/>
      </w:pPr>
      <w:r>
        <w:separator/>
      </w:r>
    </w:p>
  </w:endnote>
  <w:end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03" w:rsidRDefault="009616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03" w:rsidRDefault="009616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03" w:rsidRDefault="009616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DD" w:rsidRDefault="00AE04DD" w:rsidP="00740592">
      <w:pPr>
        <w:spacing w:after="0" w:line="240" w:lineRule="auto"/>
      </w:pPr>
      <w:r>
        <w:separator/>
      </w:r>
    </w:p>
  </w:footnote>
  <w:foot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03" w:rsidRDefault="009616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03" w:rsidRDefault="009616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3"/>
    <w:rsid w:val="000C7A0F"/>
    <w:rsid w:val="000D0349"/>
    <w:rsid w:val="00130435"/>
    <w:rsid w:val="00186578"/>
    <w:rsid w:val="00187FB5"/>
    <w:rsid w:val="00190D27"/>
    <w:rsid w:val="00192D2F"/>
    <w:rsid w:val="001D7E74"/>
    <w:rsid w:val="001F7716"/>
    <w:rsid w:val="002015C0"/>
    <w:rsid w:val="00215A1D"/>
    <w:rsid w:val="00232A1E"/>
    <w:rsid w:val="00240145"/>
    <w:rsid w:val="00273BD3"/>
    <w:rsid w:val="00282987"/>
    <w:rsid w:val="002D2843"/>
    <w:rsid w:val="003E577A"/>
    <w:rsid w:val="004011F1"/>
    <w:rsid w:val="00426B8D"/>
    <w:rsid w:val="004D7617"/>
    <w:rsid w:val="004E1665"/>
    <w:rsid w:val="004E7162"/>
    <w:rsid w:val="004E7D1E"/>
    <w:rsid w:val="00532228"/>
    <w:rsid w:val="0058140B"/>
    <w:rsid w:val="005B3C67"/>
    <w:rsid w:val="005F0202"/>
    <w:rsid w:val="0064003A"/>
    <w:rsid w:val="0064333E"/>
    <w:rsid w:val="006871EE"/>
    <w:rsid w:val="006922A9"/>
    <w:rsid w:val="006B64C3"/>
    <w:rsid w:val="006D2685"/>
    <w:rsid w:val="006E6BA3"/>
    <w:rsid w:val="00704B79"/>
    <w:rsid w:val="00740592"/>
    <w:rsid w:val="00791CE0"/>
    <w:rsid w:val="007966CF"/>
    <w:rsid w:val="00796D36"/>
    <w:rsid w:val="007A78A1"/>
    <w:rsid w:val="007C2D5F"/>
    <w:rsid w:val="007D5F58"/>
    <w:rsid w:val="007E2A9D"/>
    <w:rsid w:val="00833291"/>
    <w:rsid w:val="00866146"/>
    <w:rsid w:val="00882C4C"/>
    <w:rsid w:val="008B15FD"/>
    <w:rsid w:val="008D7354"/>
    <w:rsid w:val="008F2806"/>
    <w:rsid w:val="008F3414"/>
    <w:rsid w:val="00926C43"/>
    <w:rsid w:val="00930788"/>
    <w:rsid w:val="00961603"/>
    <w:rsid w:val="009A3A75"/>
    <w:rsid w:val="009C5991"/>
    <w:rsid w:val="009F06C1"/>
    <w:rsid w:val="00A114DF"/>
    <w:rsid w:val="00A27BCF"/>
    <w:rsid w:val="00A47ED5"/>
    <w:rsid w:val="00A5718E"/>
    <w:rsid w:val="00A70FE6"/>
    <w:rsid w:val="00A7171F"/>
    <w:rsid w:val="00A858AB"/>
    <w:rsid w:val="00AB098C"/>
    <w:rsid w:val="00AB1AFF"/>
    <w:rsid w:val="00AB4BAF"/>
    <w:rsid w:val="00AE04DD"/>
    <w:rsid w:val="00B02FCE"/>
    <w:rsid w:val="00B22C21"/>
    <w:rsid w:val="00B35526"/>
    <w:rsid w:val="00B35563"/>
    <w:rsid w:val="00B63B50"/>
    <w:rsid w:val="00B8146D"/>
    <w:rsid w:val="00B872E7"/>
    <w:rsid w:val="00BC2244"/>
    <w:rsid w:val="00C36F88"/>
    <w:rsid w:val="00C84F3F"/>
    <w:rsid w:val="00CA6D40"/>
    <w:rsid w:val="00CD6261"/>
    <w:rsid w:val="00D7162E"/>
    <w:rsid w:val="00D723A0"/>
    <w:rsid w:val="00DE072B"/>
    <w:rsid w:val="00DE4EB4"/>
    <w:rsid w:val="00DE6143"/>
    <w:rsid w:val="00E0253E"/>
    <w:rsid w:val="00E14ECE"/>
    <w:rsid w:val="00E25410"/>
    <w:rsid w:val="00E270B9"/>
    <w:rsid w:val="00E43A19"/>
    <w:rsid w:val="00E77298"/>
    <w:rsid w:val="00E930A0"/>
    <w:rsid w:val="00EB1827"/>
    <w:rsid w:val="00ED5836"/>
    <w:rsid w:val="00F56968"/>
    <w:rsid w:val="00F709A1"/>
    <w:rsid w:val="00F973AB"/>
    <w:rsid w:val="00FA7873"/>
    <w:rsid w:val="00FB47FE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D0ECBB-D484-4CD4-986C-C6EEFDA9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232A1E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57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592"/>
  </w:style>
  <w:style w:type="paragraph" w:styleId="a6">
    <w:name w:val="footer"/>
    <w:basedOn w:val="a"/>
    <w:link w:val="a7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592"/>
  </w:style>
  <w:style w:type="paragraph" w:styleId="a8">
    <w:name w:val="Normal (Web)"/>
    <w:aliases w:val="Обычный (Web)"/>
    <w:basedOn w:val="a"/>
    <w:uiPriority w:val="99"/>
    <w:rsid w:val="00DE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DE4E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A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1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A6D4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B93B-B152-4B78-AEF1-4CAF4E35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Сякина Татьяна Викторовна</dc:creator>
  <cp:keywords/>
  <dc:description/>
  <cp:lastModifiedBy>Беренева Ольга Мануиловна</cp:lastModifiedBy>
  <cp:revision>5</cp:revision>
  <cp:lastPrinted>2023-10-02T14:41:00Z</cp:lastPrinted>
  <dcterms:created xsi:type="dcterms:W3CDTF">2023-11-27T06:34:00Z</dcterms:created>
  <dcterms:modified xsi:type="dcterms:W3CDTF">2023-11-27T12:14:00Z</dcterms:modified>
</cp:coreProperties>
</file>