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1E" w:rsidRDefault="0049281E" w:rsidP="0049281E">
      <w:pPr>
        <w:widowControl w:val="0"/>
        <w:tabs>
          <w:tab w:val="left" w:pos="714"/>
          <w:tab w:val="left" w:pos="3555"/>
        </w:tabs>
        <w:suppressAutoHyphens w:val="0"/>
        <w:jc w:val="center"/>
        <w:rPr>
          <w:rFonts w:eastAsia="Lucida Sans Unicode"/>
          <w:b/>
          <w:bCs/>
          <w:kern w:val="2"/>
          <w:sz w:val="26"/>
          <w:szCs w:val="26"/>
        </w:rPr>
      </w:pPr>
      <w:r>
        <w:rPr>
          <w:rFonts w:eastAsia="Lucida Sans Unicode"/>
          <w:b/>
          <w:bCs/>
          <w:kern w:val="2"/>
          <w:sz w:val="26"/>
          <w:szCs w:val="26"/>
        </w:rPr>
        <w:t>Техническое задание</w:t>
      </w:r>
    </w:p>
    <w:p w:rsidR="00A77C34" w:rsidRDefault="0042761B" w:rsidP="0049281E">
      <w:pPr>
        <w:widowControl w:val="0"/>
        <w:tabs>
          <w:tab w:val="left" w:pos="714"/>
          <w:tab w:val="left" w:pos="3555"/>
        </w:tabs>
        <w:suppressAutoHyphens w:val="0"/>
        <w:jc w:val="center"/>
        <w:rPr>
          <w:rFonts w:eastAsia="Lucida Sans Unicode"/>
          <w:b/>
          <w:bCs/>
          <w:kern w:val="2"/>
          <w:sz w:val="26"/>
          <w:szCs w:val="26"/>
        </w:rPr>
      </w:pPr>
      <w:r w:rsidRPr="0042761B">
        <w:rPr>
          <w:rFonts w:eastAsia="Lucida Sans Unicode"/>
          <w:b/>
          <w:bCs/>
          <w:kern w:val="2"/>
          <w:sz w:val="26"/>
          <w:szCs w:val="26"/>
        </w:rPr>
        <w:t>Поставка нефтепродуктов (ГСМ) с использованием пластиковых карт: автомобильного бензина АИ-95</w:t>
      </w:r>
      <w:r w:rsidR="00DD01AE" w:rsidRPr="00DD01AE">
        <w:rPr>
          <w:rFonts w:eastAsia="Lucida Sans Unicode"/>
          <w:b/>
          <w:bCs/>
          <w:kern w:val="2"/>
          <w:sz w:val="26"/>
          <w:szCs w:val="26"/>
        </w:rPr>
        <w:t xml:space="preserve"> </w:t>
      </w:r>
      <w:r w:rsidRPr="0042761B">
        <w:rPr>
          <w:rFonts w:eastAsia="Lucida Sans Unicode"/>
          <w:b/>
          <w:bCs/>
          <w:kern w:val="2"/>
          <w:sz w:val="26"/>
          <w:szCs w:val="26"/>
        </w:rPr>
        <w:t>и дизельного топлива в 2023 году.</w:t>
      </w:r>
    </w:p>
    <w:p w:rsidR="0049281E" w:rsidRDefault="0049281E" w:rsidP="0049281E">
      <w:pPr>
        <w:widowControl w:val="0"/>
        <w:tabs>
          <w:tab w:val="left" w:pos="714"/>
          <w:tab w:val="left" w:pos="3555"/>
        </w:tabs>
        <w:suppressAutoHyphens w:val="0"/>
        <w:jc w:val="center"/>
        <w:rPr>
          <w:rFonts w:eastAsia="Lucida Sans Unicode"/>
          <w:b/>
          <w:bCs/>
          <w:kern w:val="2"/>
          <w:sz w:val="26"/>
          <w:szCs w:val="26"/>
        </w:rPr>
      </w:pPr>
    </w:p>
    <w:p w:rsidR="0049281E" w:rsidRDefault="0049281E" w:rsidP="0049281E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Общие сведения о Заказчике:</w:t>
      </w:r>
    </w:p>
    <w:p w:rsidR="0049281E" w:rsidRDefault="0049281E" w:rsidP="0049281E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учреждение – Челябинское региональное отделение Фонда социального страхования Российской Федерации.</w:t>
      </w:r>
    </w:p>
    <w:p w:rsidR="0049281E" w:rsidRDefault="0049281E" w:rsidP="0049281E">
      <w:pPr>
        <w:keepNext/>
        <w:keepLines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Адрес: 454</w:t>
      </w:r>
      <w:r w:rsidR="00FA1C05">
        <w:rPr>
          <w:sz w:val="26"/>
          <w:szCs w:val="26"/>
        </w:rPr>
        <w:t>091</w:t>
      </w:r>
      <w:r>
        <w:rPr>
          <w:sz w:val="26"/>
          <w:szCs w:val="26"/>
        </w:rPr>
        <w:t>, г. Челябинск, ул. Свободы, д. 153А.</w:t>
      </w:r>
    </w:p>
    <w:p w:rsidR="0049281E" w:rsidRDefault="0049281E" w:rsidP="0049281E">
      <w:pPr>
        <w:keepNext/>
        <w:keepLines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2. Термины, определения, сокращения, используемые в описании объекта закупки:</w:t>
      </w:r>
    </w:p>
    <w:p w:rsidR="0049281E" w:rsidRDefault="0049281E" w:rsidP="0049281E">
      <w:pPr>
        <w:keepNext/>
        <w:keepLines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МПК – микропроцессорные пластиковые карты;</w:t>
      </w:r>
    </w:p>
    <w:p w:rsidR="0049281E" w:rsidRDefault="0049281E" w:rsidP="0049281E">
      <w:pPr>
        <w:keepNext/>
        <w:keepLines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АЗС – автозаправочная станция.</w:t>
      </w:r>
    </w:p>
    <w:p w:rsidR="0049281E" w:rsidRDefault="0049281E" w:rsidP="0049281E">
      <w:pPr>
        <w:keepNext/>
        <w:keepLines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3. Общие требования к условиям поставки Товара:</w:t>
      </w:r>
    </w:p>
    <w:p w:rsidR="0049281E" w:rsidRDefault="0049281E" w:rsidP="0049281E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Поставка Заказчику бензина и дизельного топлива (далее – Товар, топливо) производится на автозаправочных станциях (далее АЗС).</w:t>
      </w:r>
    </w:p>
    <w:p w:rsidR="0049281E" w:rsidRDefault="0049281E" w:rsidP="00FA1C05">
      <w:pPr>
        <w:suppressLineNumbers/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 xml:space="preserve">Наличие АЗС </w:t>
      </w:r>
      <w:r w:rsidR="00FA1C05" w:rsidRPr="00FA1C05">
        <w:rPr>
          <w:sz w:val="26"/>
          <w:szCs w:val="26"/>
        </w:rPr>
        <w:t>на территории Челябинской области (все городские округа и муниципальные районы, город Челябинск - районы в городе:</w:t>
      </w:r>
      <w:proofErr w:type="gramEnd"/>
      <w:r w:rsidR="00FA1C05" w:rsidRPr="00FA1C05">
        <w:rPr>
          <w:sz w:val="26"/>
          <w:szCs w:val="26"/>
        </w:rPr>
        <w:t xml:space="preserve"> </w:t>
      </w:r>
      <w:proofErr w:type="gramStart"/>
      <w:r w:rsidR="00FA1C05" w:rsidRPr="00FA1C05">
        <w:rPr>
          <w:sz w:val="26"/>
          <w:szCs w:val="26"/>
        </w:rPr>
        <w:t xml:space="preserve">Калининский, Курчатовский, Ленинский, Металлургический, Советский, </w:t>
      </w:r>
      <w:proofErr w:type="spellStart"/>
      <w:r w:rsidR="00FA1C05" w:rsidRPr="00FA1C05">
        <w:rPr>
          <w:sz w:val="26"/>
          <w:szCs w:val="26"/>
        </w:rPr>
        <w:t>Тракторозаводский</w:t>
      </w:r>
      <w:proofErr w:type="spellEnd"/>
      <w:r w:rsidR="00FA1C05" w:rsidRPr="00FA1C05">
        <w:rPr>
          <w:sz w:val="26"/>
          <w:szCs w:val="26"/>
        </w:rPr>
        <w:t>, Центральный).</w:t>
      </w:r>
      <w:proofErr w:type="gramEnd"/>
      <w:r w:rsidR="00FA1C05" w:rsidRPr="00FA1C05">
        <w:rPr>
          <w:sz w:val="26"/>
          <w:szCs w:val="26"/>
        </w:rPr>
        <w:t xml:space="preserve"> При командировочном задании на территории Свердловской области, Курганской области, Тюменской области и республики Башкортостан.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Поставщик обеспечивает Заказчика актуальным списком A3C, </w:t>
      </w:r>
      <w:proofErr w:type="gramStart"/>
      <w:r>
        <w:rPr>
          <w:sz w:val="26"/>
          <w:szCs w:val="26"/>
        </w:rPr>
        <w:t>принимающих</w:t>
      </w:r>
      <w:proofErr w:type="gramEnd"/>
      <w:r>
        <w:rPr>
          <w:sz w:val="26"/>
          <w:szCs w:val="26"/>
        </w:rPr>
        <w:t xml:space="preserve"> к использованию </w:t>
      </w:r>
      <w:r w:rsidR="006A5CFA" w:rsidRPr="006A5CFA">
        <w:rPr>
          <w:sz w:val="26"/>
          <w:szCs w:val="26"/>
        </w:rPr>
        <w:t>пластиковые карты</w:t>
      </w:r>
      <w:r>
        <w:rPr>
          <w:sz w:val="26"/>
          <w:szCs w:val="26"/>
        </w:rPr>
        <w:t>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Средством получения Товара через систему A3C являются микропроцессорные пластиковые карты (M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K). Каждая пластиковая карта должна иметь индивидуальный электронный номер и секретный код (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  <w:lang w:val="en-US"/>
        </w:rPr>
        <w:t>IN</w:t>
      </w:r>
      <w:r>
        <w:rPr>
          <w:sz w:val="26"/>
          <w:szCs w:val="26"/>
        </w:rPr>
        <w:t xml:space="preserve"> - код). Использование пластиковых карт для получения Товара учитыва</w:t>
      </w:r>
      <w:r w:rsidR="00FF1742">
        <w:rPr>
          <w:sz w:val="26"/>
          <w:szCs w:val="26"/>
        </w:rPr>
        <w:t>е</w:t>
      </w:r>
      <w:r>
        <w:rPr>
          <w:sz w:val="26"/>
          <w:szCs w:val="26"/>
        </w:rPr>
        <w:t>тся Поставщиком через специальное оборудование и программное обеспечение. Изготовление топливных карт на получение (отпуск) топлива производится за счет средств Поставщика (количество топливных карт должно быть указано в заявке на карты). M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K не является платежным средством. MПK — </w:t>
      </w:r>
      <w:proofErr w:type="gramStart"/>
      <w:r>
        <w:rPr>
          <w:sz w:val="26"/>
          <w:szCs w:val="26"/>
        </w:rPr>
        <w:t>лимитированная</w:t>
      </w:r>
      <w:proofErr w:type="gramEnd"/>
      <w:r>
        <w:rPr>
          <w:sz w:val="26"/>
          <w:szCs w:val="26"/>
        </w:rPr>
        <w:t>, с возможностью установки месячного лимита топлива.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Получение M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K осуществляется путем составления соответствующей заявки Поставщику с указанием номеров автомобилей (или фамилий водителей), марки топлива и </w:t>
      </w:r>
      <w:r w:rsidR="00FF1742" w:rsidRPr="00FF1742">
        <w:rPr>
          <w:sz w:val="26"/>
          <w:szCs w:val="26"/>
        </w:rPr>
        <w:t>месячного</w:t>
      </w:r>
      <w:r>
        <w:rPr>
          <w:sz w:val="26"/>
          <w:szCs w:val="26"/>
        </w:rPr>
        <w:t xml:space="preserve"> лимита отпуска на каждый автомобиль.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Поставщик обеспечивает возможность блокировки МПК в течени</w:t>
      </w:r>
      <w:r w:rsidR="00FF174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A5CFA">
        <w:rPr>
          <w:sz w:val="26"/>
          <w:szCs w:val="26"/>
        </w:rPr>
        <w:t>48</w:t>
      </w:r>
      <w:r>
        <w:rPr>
          <w:sz w:val="26"/>
          <w:szCs w:val="26"/>
        </w:rPr>
        <w:t xml:space="preserve"> часов после получения заявки Заказчика.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Поставщик ведет учет отпуска Товара по пластиковым картам с использованием специального оборудования и программного обеспечения путем ведения реестра операций по переданному Товару. В реестре отражается информация о времени, месте, наименовании, количестве, договорной цене и цене на A3C переданного Товара. Информация, содержащаяся в реестре, формируется </w:t>
      </w:r>
      <w:r w:rsidR="006A5CF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6A5CFA">
        <w:rPr>
          <w:sz w:val="26"/>
          <w:szCs w:val="26"/>
        </w:rPr>
        <w:t>электронном виде</w:t>
      </w:r>
      <w:r>
        <w:rPr>
          <w:sz w:val="26"/>
          <w:szCs w:val="26"/>
        </w:rPr>
        <w:t xml:space="preserve"> в форме выписки из реестра операций (отчета) за от</w:t>
      </w:r>
      <w:r w:rsidR="006A5CFA">
        <w:rPr>
          <w:sz w:val="26"/>
          <w:szCs w:val="26"/>
        </w:rPr>
        <w:t>ч</w:t>
      </w:r>
      <w:r>
        <w:rPr>
          <w:sz w:val="26"/>
          <w:szCs w:val="26"/>
        </w:rPr>
        <w:t>етный период (месяц) и передается Заказчику. Выписка из реестра операций (отчет) является подтверждением проведенных операций по отпуску Товара и размера задолженности Заказчика. Выписка заверяется лицами, уполномоченными на ведение учета через специальное оборудование.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Топливо выдается Поставщиком Получателям круглосуточно, на основании топливных карт через сеть A3C Поставщика.</w:t>
      </w:r>
    </w:p>
    <w:p w:rsidR="0049281E" w:rsidRDefault="0049281E" w:rsidP="0049281E">
      <w:pPr>
        <w:widowControl w:val="0"/>
        <w:suppressLineNumbers/>
        <w:tabs>
          <w:tab w:val="left" w:pos="993"/>
        </w:tabs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</w:t>
      </w:r>
      <w:r>
        <w:rPr>
          <w:b/>
          <w:sz w:val="26"/>
          <w:szCs w:val="26"/>
        </w:rPr>
        <w:tab/>
        <w:t>Технические требования:</w:t>
      </w:r>
    </w:p>
    <w:p w:rsidR="0049281E" w:rsidRDefault="0049281E" w:rsidP="0049281E">
      <w:pPr>
        <w:widowControl w:val="0"/>
        <w:suppressLineNumbers/>
        <w:tabs>
          <w:tab w:val="left" w:pos="1276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Весь поставляемый Товар должен соответствовать требованиям настоящего Описания объекта закупки, правилам безопасности, нормам производства и реализации, а также постановлению Правительства Российской Федерации от 27 февраля 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реактивные двигателей и топочному мазуту» и требованиям «TP TC 013/2011 Технический регламент Таможенного союза.</w:t>
      </w:r>
      <w:proofErr w:type="gramEnd"/>
      <w:r>
        <w:rPr>
          <w:sz w:val="26"/>
          <w:szCs w:val="26"/>
        </w:rPr>
        <w:t xml:space="preserve"> О требованиях к автомобильному и авиационному бензину, дизельному и судовому топливу, топливу для реактивных двигателей и мазуту» решение Комиссии Таможенного союза от 18.10.2011 №826, иметь сертификаты соответствия, паспорт на продукцию. Автомобильный бензин и дизельное топливо не должны содержать металлосодержащие присадки. Автомобильный бензин может содержать красители (кроме зеленого и голубого цвета) и вещества-метки, а также моющие присадки, не ухудшающие его показатели и свойства.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Автомобильный бензин и дизельное топливо должны соответствовать экологическому классу 5 по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51866-2002, ГОСТ Р 52368-2005, ГОСТ Р 51105-2020, а также отвечать требованиям к безопасности окружающей среды определяемым Федеральным законом Российской Федерации от 10.01.2002 № 7-ФЗ «Об охране окружающей среды».</w:t>
      </w:r>
    </w:p>
    <w:p w:rsidR="0049281E" w:rsidRDefault="0049281E" w:rsidP="0049281E">
      <w:pPr>
        <w:widowControl w:val="0"/>
        <w:suppressLineNumbers/>
        <w:tabs>
          <w:tab w:val="left" w:pos="993"/>
          <w:tab w:val="left" w:pos="1276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Поставщик обязан гарантировать качество поставляемого</w:t>
      </w:r>
      <w:r w:rsidR="0064693D">
        <w:rPr>
          <w:sz w:val="26"/>
          <w:szCs w:val="26"/>
        </w:rPr>
        <w:t xml:space="preserve"> товара</w:t>
      </w:r>
      <w:r>
        <w:rPr>
          <w:sz w:val="26"/>
          <w:szCs w:val="26"/>
        </w:rPr>
        <w:t>. Качество автомобильного бензина и дизельного топлива должно соответствовать ГОСТам и ТУ на данный ассортимент и подтверждаться сертификатом качества, выданным заводом-производителем.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Требования к качеству Товара: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Топливо, предоставляемое посредством пластиковых карт, должно соответствовать требованиям:</w:t>
      </w:r>
    </w:p>
    <w:p w:rsidR="00DD0F4F" w:rsidRDefault="00DD0F4F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 w:rsidRPr="00DD0F4F">
        <w:rPr>
          <w:sz w:val="26"/>
          <w:szCs w:val="26"/>
        </w:rPr>
        <w:t xml:space="preserve">ГОСТ </w:t>
      </w:r>
      <w:proofErr w:type="gramStart"/>
      <w:r w:rsidRPr="00DD0F4F">
        <w:rPr>
          <w:sz w:val="26"/>
          <w:szCs w:val="26"/>
        </w:rPr>
        <w:t>Р</w:t>
      </w:r>
      <w:proofErr w:type="gramEnd"/>
      <w:r w:rsidRPr="00DD0F4F">
        <w:rPr>
          <w:sz w:val="26"/>
          <w:szCs w:val="26"/>
        </w:rPr>
        <w:t xml:space="preserve"> 51105-2020</w:t>
      </w:r>
      <w:r>
        <w:rPr>
          <w:sz w:val="26"/>
          <w:szCs w:val="26"/>
        </w:rPr>
        <w:t xml:space="preserve"> </w:t>
      </w:r>
      <w:r w:rsidR="000A6CAB" w:rsidRPr="000A6CAB">
        <w:rPr>
          <w:sz w:val="26"/>
          <w:szCs w:val="26"/>
        </w:rPr>
        <w:t>–</w:t>
      </w:r>
      <w:r>
        <w:rPr>
          <w:sz w:val="26"/>
          <w:szCs w:val="26"/>
        </w:rPr>
        <w:t xml:space="preserve"> «Топливо для двигателей внутреннего сгорания. Бензин неэтилированный»;</w:t>
      </w:r>
    </w:p>
    <w:p w:rsidR="00DD0F4F" w:rsidRDefault="00DD0F4F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 w:rsidRPr="00DD0F4F">
        <w:rPr>
          <w:sz w:val="26"/>
          <w:szCs w:val="26"/>
        </w:rPr>
        <w:t>ГОСТ Р 51866-2002</w:t>
      </w:r>
      <w:r>
        <w:rPr>
          <w:sz w:val="26"/>
          <w:szCs w:val="26"/>
        </w:rPr>
        <w:t xml:space="preserve"> </w:t>
      </w:r>
      <w:r w:rsidR="000A6CAB">
        <w:rPr>
          <w:sz w:val="26"/>
          <w:szCs w:val="26"/>
          <w:lang w:val="en-US"/>
        </w:rPr>
        <w:t>–</w:t>
      </w:r>
      <w:bookmarkStart w:id="0" w:name="_GoBack"/>
      <w:bookmarkEnd w:id="0"/>
      <w:r>
        <w:rPr>
          <w:sz w:val="26"/>
          <w:szCs w:val="26"/>
        </w:rPr>
        <w:t xml:space="preserve"> «Топлива моторные. </w:t>
      </w:r>
      <w:r w:rsidRPr="00DD0F4F">
        <w:rPr>
          <w:sz w:val="26"/>
          <w:szCs w:val="26"/>
        </w:rPr>
        <w:t>Бензин неэтилированный</w:t>
      </w:r>
      <w:r>
        <w:rPr>
          <w:sz w:val="26"/>
          <w:szCs w:val="26"/>
        </w:rPr>
        <w:t>»;</w:t>
      </w:r>
    </w:p>
    <w:p w:rsidR="00DD0F4F" w:rsidRDefault="00DD0F4F" w:rsidP="0049281E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r w:rsidRPr="00DD0F4F">
        <w:rPr>
          <w:sz w:val="26"/>
          <w:szCs w:val="26"/>
        </w:rPr>
        <w:t xml:space="preserve">ГОСТ </w:t>
      </w:r>
      <w:proofErr w:type="gramStart"/>
      <w:r w:rsidRPr="00DD0F4F">
        <w:rPr>
          <w:sz w:val="26"/>
          <w:szCs w:val="26"/>
        </w:rPr>
        <w:t>Р</w:t>
      </w:r>
      <w:proofErr w:type="gramEnd"/>
      <w:r w:rsidRPr="00DD0F4F">
        <w:rPr>
          <w:sz w:val="26"/>
          <w:szCs w:val="26"/>
        </w:rPr>
        <w:t xml:space="preserve"> 52368-2005</w:t>
      </w:r>
      <w:r>
        <w:rPr>
          <w:sz w:val="26"/>
          <w:szCs w:val="26"/>
        </w:rPr>
        <w:t xml:space="preserve"> – «Топливо дизельное евро».</w:t>
      </w:r>
    </w:p>
    <w:p w:rsidR="0049281E" w:rsidRDefault="0049281E" w:rsidP="0049281E">
      <w:pPr>
        <w:widowControl w:val="0"/>
        <w:suppressLineNumbers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Обязательные условия:</w:t>
      </w:r>
    </w:p>
    <w:p w:rsidR="0049281E" w:rsidRDefault="00973E14" w:rsidP="0049281E">
      <w:pPr>
        <w:widowControl w:val="0"/>
        <w:suppressLineNumbers/>
        <w:spacing w:line="100" w:lineRule="atLeast"/>
        <w:jc w:val="both"/>
        <w:rPr>
          <w:sz w:val="26"/>
          <w:szCs w:val="26"/>
        </w:rPr>
      </w:pPr>
      <w:r w:rsidRPr="00973E14">
        <w:rPr>
          <w:sz w:val="26"/>
          <w:szCs w:val="26"/>
        </w:rPr>
        <w:t>Поставка нефтепродуктов (ГСМ) с использованием пластиковых карт: автомобильного бензина АИ-95и</w:t>
      </w:r>
      <w:r>
        <w:rPr>
          <w:sz w:val="26"/>
          <w:szCs w:val="26"/>
        </w:rPr>
        <w:t xml:space="preserve"> дизельного топлива в 2023 году:</w:t>
      </w:r>
    </w:p>
    <w:p w:rsidR="00973E14" w:rsidRDefault="00973E14" w:rsidP="0049281E">
      <w:pPr>
        <w:widowControl w:val="0"/>
        <w:suppressLineNumbers/>
        <w:spacing w:line="100" w:lineRule="atLeast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2618"/>
        <w:gridCol w:w="2800"/>
      </w:tblGrid>
      <w:tr w:rsidR="0049281E" w:rsidTr="00A77C34">
        <w:trPr>
          <w:trHeight w:val="33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LineNumbers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Марка топлива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LineNumbers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A77C34">
            <w:pPr>
              <w:widowControl w:val="0"/>
              <w:suppressLineNumbers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49281E" w:rsidTr="00A77C3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 марки АИ-95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E" w:rsidRDefault="007A7761" w:rsidP="007A776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03A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356</w:t>
            </w:r>
            <w:r w:rsidR="00B03AC5">
              <w:rPr>
                <w:sz w:val="22"/>
                <w:szCs w:val="22"/>
              </w:rPr>
              <w:t>,00</w:t>
            </w:r>
          </w:p>
        </w:tc>
      </w:tr>
      <w:tr w:rsidR="0049281E" w:rsidTr="00A77C34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 (ДТ)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1E" w:rsidRDefault="007A7761" w:rsidP="00BE00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4 416</w:t>
            </w:r>
            <w:r w:rsidR="00B03AC5">
              <w:rPr>
                <w:sz w:val="22"/>
                <w:szCs w:val="22"/>
              </w:rPr>
              <w:t>,00</w:t>
            </w:r>
          </w:p>
        </w:tc>
      </w:tr>
    </w:tbl>
    <w:p w:rsidR="0049281E" w:rsidRDefault="0049281E" w:rsidP="0049281E">
      <w:pPr>
        <w:widowControl w:val="0"/>
        <w:suppressLineNumbers/>
        <w:spacing w:line="100" w:lineRule="atLeast"/>
        <w:jc w:val="both"/>
        <w:rPr>
          <w:sz w:val="26"/>
          <w:szCs w:val="26"/>
        </w:rPr>
      </w:pPr>
    </w:p>
    <w:tbl>
      <w:tblPr>
        <w:tblW w:w="9911" w:type="dxa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3"/>
        <w:gridCol w:w="4138"/>
      </w:tblGrid>
      <w:tr w:rsidR="0049281E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 w:rsidP="00973E14">
            <w:pPr>
              <w:widowControl w:val="0"/>
              <w:tabs>
                <w:tab w:val="left" w:pos="540"/>
                <w:tab w:val="left" w:pos="720"/>
                <w:tab w:val="left" w:pos="144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snapToGrid w:val="0"/>
                <w:sz w:val="22"/>
                <w:szCs w:val="22"/>
                <w:lang w:eastAsia="ru-RU"/>
              </w:rPr>
              <w:t>КТРУ 19.20.21.1</w:t>
            </w:r>
            <w:r w:rsidR="00F221E2">
              <w:rPr>
                <w:b/>
                <w:snapToGrid w:val="0"/>
                <w:sz w:val="22"/>
                <w:szCs w:val="22"/>
                <w:lang w:eastAsia="ru-RU"/>
              </w:rPr>
              <w:t>00</w:t>
            </w:r>
            <w:r>
              <w:rPr>
                <w:b/>
                <w:snapToGrid w:val="0"/>
                <w:sz w:val="22"/>
                <w:szCs w:val="22"/>
                <w:lang w:eastAsia="ru-RU"/>
              </w:rPr>
              <w:t>-0000</w:t>
            </w:r>
            <w:r w:rsidR="00F221E2">
              <w:rPr>
                <w:b/>
                <w:snapToGrid w:val="0"/>
                <w:sz w:val="22"/>
                <w:szCs w:val="22"/>
                <w:lang w:eastAsia="ru-RU"/>
              </w:rPr>
              <w:t>000</w:t>
            </w:r>
            <w:r w:rsidR="00973E14">
              <w:rPr>
                <w:b/>
                <w:snapToGrid w:val="0"/>
                <w:sz w:val="22"/>
                <w:szCs w:val="22"/>
                <w:lang w:eastAsia="ru-RU"/>
              </w:rPr>
              <w:t>5</w:t>
            </w:r>
            <w:r>
              <w:rPr>
                <w:b/>
                <w:snapToGrid w:val="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49281E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АИ-95</w:t>
            </w:r>
          </w:p>
        </w:tc>
      </w:tr>
      <w:tr w:rsidR="0049281E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ХАРАКТЕРИСТИКИ</w:t>
            </w:r>
          </w:p>
        </w:tc>
      </w:tr>
      <w:tr w:rsidR="0049281E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Октановое число бензина автомобильного по исследовательскому методу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 w:rsidP="00046653">
            <w:pPr>
              <w:widowControl w:val="0"/>
              <w:suppressAutoHyphens w:val="0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u w:val="single"/>
                <w:lang w:val="en-US" w:eastAsia="ru-RU"/>
              </w:rPr>
              <w:t>&gt;</w:t>
            </w:r>
            <w:r>
              <w:rPr>
                <w:sz w:val="22"/>
                <w:szCs w:val="22"/>
                <w:lang w:eastAsia="ru-RU"/>
              </w:rPr>
              <w:t xml:space="preserve"> 95 и </w:t>
            </w:r>
            <w:r>
              <w:rPr>
                <w:sz w:val="22"/>
                <w:szCs w:val="22"/>
                <w:lang w:val="en-US" w:eastAsia="ru-RU"/>
              </w:rPr>
              <w:t xml:space="preserve">&lt; </w:t>
            </w:r>
            <w:r>
              <w:rPr>
                <w:sz w:val="22"/>
                <w:szCs w:val="22"/>
                <w:lang w:eastAsia="ru-RU"/>
              </w:rPr>
              <w:t>98</w:t>
            </w:r>
          </w:p>
        </w:tc>
      </w:tr>
      <w:tr w:rsidR="0049281E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Экологический класс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ниже К5</w:t>
            </w:r>
          </w:p>
        </w:tc>
      </w:tr>
      <w:tr w:rsidR="0049281E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 w:rsidP="000E56EF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КТРУ </w:t>
            </w:r>
            <w:r>
              <w:rPr>
                <w:b/>
                <w:sz w:val="22"/>
                <w:szCs w:val="22"/>
                <w:lang w:eastAsia="ru-RU"/>
              </w:rPr>
              <w:t>19.20.21.3</w:t>
            </w:r>
            <w:r w:rsidR="000E56EF"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5-00002</w:t>
            </w:r>
          </w:p>
        </w:tc>
      </w:tr>
      <w:tr w:rsidR="0049281E" w:rsidTr="0049281E">
        <w:trPr>
          <w:jc w:val="center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ДТ</w:t>
            </w:r>
          </w:p>
        </w:tc>
      </w:tr>
      <w:tr w:rsidR="0049281E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ХАРАКТЕРИСТИКИ</w:t>
            </w:r>
          </w:p>
        </w:tc>
      </w:tr>
      <w:tr w:rsidR="0049281E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Сорт/класс топлива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Pr="000E56EF" w:rsidRDefault="0049281E" w:rsidP="00544B4A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Не ниже </w:t>
            </w:r>
            <w:r w:rsidR="00544B4A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9281E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Тип топлива дизельного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FC7B7F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Зимнее</w:t>
            </w:r>
            <w:r w:rsidR="0049281E">
              <w:rPr>
                <w:sz w:val="22"/>
                <w:szCs w:val="22"/>
                <w:lang w:eastAsia="ru-RU"/>
              </w:rPr>
              <w:t>*</w:t>
            </w:r>
          </w:p>
        </w:tc>
      </w:tr>
      <w:tr w:rsidR="0049281E" w:rsidTr="0049281E">
        <w:trPr>
          <w:jc w:val="center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Экологический класс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1E" w:rsidRDefault="0049281E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ниже К5</w:t>
            </w:r>
          </w:p>
        </w:tc>
      </w:tr>
    </w:tbl>
    <w:p w:rsidR="0049281E" w:rsidRDefault="0049281E" w:rsidP="0049281E">
      <w:pPr>
        <w:widowControl w:val="0"/>
        <w:suppressLineNumbers/>
        <w:spacing w:line="100" w:lineRule="atLeast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*</w:t>
      </w:r>
      <w:r w:rsidR="00A77C34" w:rsidRPr="00A77C34">
        <w:t xml:space="preserve"> </w:t>
      </w:r>
      <w:r w:rsidR="00A77C34" w:rsidRPr="00DD0F4F">
        <w:rPr>
          <w:b/>
          <w:i/>
          <w:color w:val="000000"/>
          <w:sz w:val="22"/>
          <w:szCs w:val="22"/>
          <w:lang w:eastAsia="ru-RU"/>
        </w:rPr>
        <w:t xml:space="preserve">В соответствии с требованиями к дизельному топливу, установленными Техническим регламентом Таможенного союза </w:t>
      </w:r>
      <w:proofErr w:type="gramStart"/>
      <w:r w:rsidR="00A77C34" w:rsidRPr="00DD0F4F">
        <w:rPr>
          <w:b/>
          <w:i/>
          <w:color w:val="000000"/>
          <w:sz w:val="22"/>
          <w:szCs w:val="22"/>
          <w:lang w:eastAsia="ru-RU"/>
        </w:rPr>
        <w:t>ТР</w:t>
      </w:r>
      <w:proofErr w:type="gramEnd"/>
      <w:r w:rsidR="00A77C34" w:rsidRPr="00DD0F4F">
        <w:rPr>
          <w:b/>
          <w:i/>
          <w:color w:val="000000"/>
          <w:sz w:val="22"/>
          <w:szCs w:val="22"/>
          <w:lang w:eastAsia="ru-RU"/>
        </w:rPr>
        <w:t xml:space="preserve"> ТС 013/2011 "О требованиях к автомобильному и авиационному бензину, дизельному и судовому топливу, топливу для реактивных двигателей и мазуту", утвержденным  Решением Комиссии Таможенного союза от 18.10.2011 N 826, дизельное топливо подразделяется на: летнее, межсезонное, зимнее, арктическое. Отгрузка дизельного топлива на АЗС  осуществляется в зависимости от климатических и температурных условий (в соответствии  предельной температурой </w:t>
      </w:r>
      <w:proofErr w:type="spellStart"/>
      <w:r w:rsidR="00A77C34" w:rsidRPr="00DD0F4F">
        <w:rPr>
          <w:b/>
          <w:i/>
          <w:color w:val="000000"/>
          <w:sz w:val="22"/>
          <w:szCs w:val="22"/>
          <w:lang w:eastAsia="ru-RU"/>
        </w:rPr>
        <w:t>фильтруемости</w:t>
      </w:r>
      <w:proofErr w:type="spellEnd"/>
      <w:r w:rsidR="00A77C34" w:rsidRPr="00DD0F4F">
        <w:rPr>
          <w:b/>
          <w:i/>
          <w:color w:val="000000"/>
          <w:sz w:val="22"/>
          <w:szCs w:val="22"/>
          <w:lang w:eastAsia="ru-RU"/>
        </w:rPr>
        <w:t>).</w:t>
      </w:r>
    </w:p>
    <w:p w:rsidR="0049281E" w:rsidRPr="000C7BA1" w:rsidRDefault="0049281E" w:rsidP="00F356DD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Срок действия M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K — с даты заключения государственного контракта, но не ранее </w:t>
      </w:r>
      <w:r w:rsidRPr="00B97ACD">
        <w:rPr>
          <w:sz w:val="26"/>
          <w:szCs w:val="26"/>
          <w:u w:val="single"/>
        </w:rPr>
        <w:t>01.</w:t>
      </w:r>
      <w:r w:rsidR="006E085C">
        <w:rPr>
          <w:sz w:val="26"/>
          <w:szCs w:val="26"/>
          <w:u w:val="single"/>
        </w:rPr>
        <w:t>01</w:t>
      </w:r>
      <w:r w:rsidRPr="00B97ACD">
        <w:rPr>
          <w:sz w:val="26"/>
          <w:szCs w:val="26"/>
          <w:u w:val="single"/>
        </w:rPr>
        <w:t>.202</w:t>
      </w:r>
      <w:r w:rsidR="006E085C">
        <w:rPr>
          <w:sz w:val="26"/>
          <w:szCs w:val="26"/>
          <w:u w:val="single"/>
        </w:rPr>
        <w:t>3</w:t>
      </w:r>
      <w:r w:rsidRPr="00B97ACD">
        <w:rPr>
          <w:sz w:val="26"/>
          <w:szCs w:val="26"/>
        </w:rPr>
        <w:t xml:space="preserve"> по </w:t>
      </w:r>
      <w:r w:rsidRPr="00B97ACD">
        <w:rPr>
          <w:sz w:val="26"/>
          <w:szCs w:val="26"/>
          <w:u w:val="single"/>
        </w:rPr>
        <w:t>3</w:t>
      </w:r>
      <w:r w:rsidR="007A7761">
        <w:rPr>
          <w:sz w:val="26"/>
          <w:szCs w:val="26"/>
          <w:u w:val="single"/>
        </w:rPr>
        <w:t>0</w:t>
      </w:r>
      <w:r w:rsidRPr="00B97ACD">
        <w:rPr>
          <w:sz w:val="26"/>
          <w:szCs w:val="26"/>
          <w:u w:val="single"/>
        </w:rPr>
        <w:t>.</w:t>
      </w:r>
      <w:r w:rsidR="006E085C">
        <w:rPr>
          <w:sz w:val="26"/>
          <w:szCs w:val="26"/>
          <w:u w:val="single"/>
        </w:rPr>
        <w:t>0</w:t>
      </w:r>
      <w:r w:rsidR="007A7761">
        <w:rPr>
          <w:sz w:val="26"/>
          <w:szCs w:val="26"/>
          <w:u w:val="single"/>
        </w:rPr>
        <w:t>6</w:t>
      </w:r>
      <w:r w:rsidRPr="00B97ACD">
        <w:rPr>
          <w:sz w:val="26"/>
          <w:szCs w:val="26"/>
          <w:u w:val="single"/>
        </w:rPr>
        <w:t>.202</w:t>
      </w:r>
      <w:r w:rsidR="006E085C">
        <w:rPr>
          <w:sz w:val="26"/>
          <w:szCs w:val="26"/>
          <w:u w:val="single"/>
        </w:rPr>
        <w:t>3</w:t>
      </w:r>
      <w:r w:rsidRPr="00B97ACD">
        <w:rPr>
          <w:sz w:val="26"/>
          <w:szCs w:val="26"/>
          <w:u w:val="single"/>
        </w:rPr>
        <w:t>.</w:t>
      </w:r>
    </w:p>
    <w:p w:rsidR="0049281E" w:rsidRDefault="0049281E" w:rsidP="0049281E">
      <w:pPr>
        <w:widowControl w:val="0"/>
        <w:suppressLineNumbers/>
        <w:tabs>
          <w:tab w:val="left" w:pos="993"/>
        </w:tabs>
        <w:spacing w:line="10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  <w:t>Срок поставки Товара:</w:t>
      </w:r>
    </w:p>
    <w:p w:rsidR="0049281E" w:rsidRPr="00B97ACD" w:rsidRDefault="0049281E" w:rsidP="00F356DD">
      <w:pPr>
        <w:widowControl w:val="0"/>
        <w:suppressLineNumbers/>
        <w:spacing w:line="100" w:lineRule="atLeas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государственного контракта, но не ранее </w:t>
      </w:r>
      <w:r w:rsidRPr="00B97ACD">
        <w:rPr>
          <w:sz w:val="26"/>
          <w:szCs w:val="26"/>
          <w:u w:val="single"/>
        </w:rPr>
        <w:t>01.</w:t>
      </w:r>
      <w:r w:rsidR="006E085C">
        <w:rPr>
          <w:sz w:val="26"/>
          <w:szCs w:val="26"/>
          <w:u w:val="single"/>
        </w:rPr>
        <w:t>01</w:t>
      </w:r>
      <w:r w:rsidRPr="00B97ACD">
        <w:rPr>
          <w:sz w:val="26"/>
          <w:szCs w:val="26"/>
          <w:u w:val="single"/>
        </w:rPr>
        <w:t>.202</w:t>
      </w:r>
      <w:r w:rsidR="006E085C">
        <w:rPr>
          <w:sz w:val="26"/>
          <w:szCs w:val="26"/>
          <w:u w:val="single"/>
        </w:rPr>
        <w:t>3</w:t>
      </w:r>
      <w:r w:rsidRPr="00B97ACD">
        <w:rPr>
          <w:sz w:val="26"/>
          <w:szCs w:val="26"/>
        </w:rPr>
        <w:t xml:space="preserve"> по </w:t>
      </w:r>
      <w:r w:rsidRPr="00B97ACD">
        <w:rPr>
          <w:sz w:val="26"/>
          <w:szCs w:val="26"/>
          <w:u w:val="single"/>
        </w:rPr>
        <w:t>3</w:t>
      </w:r>
      <w:r w:rsidR="007A7761">
        <w:rPr>
          <w:sz w:val="26"/>
          <w:szCs w:val="26"/>
          <w:u w:val="single"/>
        </w:rPr>
        <w:t>0</w:t>
      </w:r>
      <w:r w:rsidRPr="00B97ACD">
        <w:rPr>
          <w:sz w:val="26"/>
          <w:szCs w:val="26"/>
          <w:u w:val="single"/>
        </w:rPr>
        <w:t>.</w:t>
      </w:r>
      <w:r w:rsidR="006E085C">
        <w:rPr>
          <w:sz w:val="26"/>
          <w:szCs w:val="26"/>
          <w:u w:val="single"/>
        </w:rPr>
        <w:t>0</w:t>
      </w:r>
      <w:r w:rsidR="007A7761">
        <w:rPr>
          <w:sz w:val="26"/>
          <w:szCs w:val="26"/>
          <w:u w:val="single"/>
        </w:rPr>
        <w:t>6</w:t>
      </w:r>
      <w:r w:rsidRPr="00B97ACD">
        <w:rPr>
          <w:sz w:val="26"/>
          <w:szCs w:val="26"/>
          <w:u w:val="single"/>
        </w:rPr>
        <w:t>.202</w:t>
      </w:r>
      <w:r w:rsidR="006E085C">
        <w:rPr>
          <w:sz w:val="26"/>
          <w:szCs w:val="26"/>
          <w:u w:val="single"/>
        </w:rPr>
        <w:t>3</w:t>
      </w:r>
      <w:r w:rsidRPr="00B97ACD">
        <w:rPr>
          <w:sz w:val="26"/>
          <w:szCs w:val="26"/>
          <w:u w:val="single"/>
        </w:rPr>
        <w:t xml:space="preserve"> включительно</w:t>
      </w:r>
      <w:r w:rsidRPr="00B97ACD">
        <w:rPr>
          <w:sz w:val="26"/>
          <w:szCs w:val="26"/>
        </w:rPr>
        <w:t>.</w:t>
      </w:r>
    </w:p>
    <w:p w:rsidR="006D2BEA" w:rsidRDefault="006D2BEA"/>
    <w:sectPr w:rsidR="006D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2"/>
    <w:rsid w:val="00046653"/>
    <w:rsid w:val="000A6CAB"/>
    <w:rsid w:val="000C7BA1"/>
    <w:rsid w:val="000E56EF"/>
    <w:rsid w:val="001348A5"/>
    <w:rsid w:val="002666B8"/>
    <w:rsid w:val="0038477A"/>
    <w:rsid w:val="0042761B"/>
    <w:rsid w:val="004278F2"/>
    <w:rsid w:val="0049281E"/>
    <w:rsid w:val="00544B4A"/>
    <w:rsid w:val="0064693D"/>
    <w:rsid w:val="006A5CFA"/>
    <w:rsid w:val="006D2BEA"/>
    <w:rsid w:val="006E085C"/>
    <w:rsid w:val="007A7761"/>
    <w:rsid w:val="007E3117"/>
    <w:rsid w:val="00956BCE"/>
    <w:rsid w:val="00973E14"/>
    <w:rsid w:val="00A77C34"/>
    <w:rsid w:val="00B03AC5"/>
    <w:rsid w:val="00B97ACD"/>
    <w:rsid w:val="00BE0035"/>
    <w:rsid w:val="00DD01AE"/>
    <w:rsid w:val="00DD0F4F"/>
    <w:rsid w:val="00ED054B"/>
    <w:rsid w:val="00F221E2"/>
    <w:rsid w:val="00F356DD"/>
    <w:rsid w:val="00FA1C05"/>
    <w:rsid w:val="00FC7B7F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Александр Васильевич</dc:creator>
  <cp:keywords/>
  <dc:description/>
  <cp:lastModifiedBy>Сергеева Ольга Сергеевна</cp:lastModifiedBy>
  <cp:revision>28</cp:revision>
  <dcterms:created xsi:type="dcterms:W3CDTF">2022-04-19T05:42:00Z</dcterms:created>
  <dcterms:modified xsi:type="dcterms:W3CDTF">2022-11-28T07:02:00Z</dcterms:modified>
</cp:coreProperties>
</file>