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584F1A" w:rsidRPr="00584F1A" w:rsidRDefault="004B176D" w:rsidP="00584F1A">
      <w:pPr>
        <w:keepNext/>
        <w:ind w:right="113" w:firstLine="709"/>
        <w:jc w:val="both"/>
        <w:rPr>
          <w:b/>
          <w:bCs/>
          <w:sz w:val="22"/>
          <w:szCs w:val="22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584F1A">
        <w:rPr>
          <w:rFonts w:eastAsiaTheme="majorEastAsia"/>
          <w:sz w:val="22"/>
          <w:szCs w:val="22"/>
          <w:lang w:eastAsia="en-US"/>
        </w:rPr>
        <w:t xml:space="preserve">Объект закупки: </w:t>
      </w:r>
      <w:r w:rsidR="00584F1A" w:rsidRPr="00584F1A">
        <w:rPr>
          <w:b/>
          <w:bCs/>
          <w:sz w:val="22"/>
          <w:szCs w:val="22"/>
        </w:rPr>
        <w:t>выполнение работ по изготовлению протеза нижней конечности для обеспечения инвалида в 2023 году.</w:t>
      </w:r>
    </w:p>
    <w:p w:rsidR="00584F1A" w:rsidRDefault="00584F1A" w:rsidP="00584F1A">
      <w:pPr>
        <w:widowControl w:val="0"/>
        <w:jc w:val="center"/>
        <w:rPr>
          <w:b/>
          <w:bCs/>
          <w:sz w:val="22"/>
          <w:szCs w:val="22"/>
        </w:rPr>
      </w:pPr>
    </w:p>
    <w:p w:rsidR="00584F1A" w:rsidRDefault="00584F1A" w:rsidP="00584F1A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1 штука.</w:t>
      </w:r>
    </w:p>
    <w:p w:rsidR="00410E69" w:rsidRDefault="00410E69" w:rsidP="00410E69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b/>
          <w:sz w:val="22"/>
          <w:szCs w:val="22"/>
        </w:rPr>
      </w:pPr>
      <w:r>
        <w:rPr>
          <w:sz w:val="22"/>
          <w:szCs w:val="22"/>
          <w:u w:val="single"/>
        </w:rPr>
        <w:t xml:space="preserve">Начальная максимальная цена контракта: </w:t>
      </w:r>
      <w:r w:rsidR="00A06BF0">
        <w:rPr>
          <w:b/>
          <w:sz w:val="22"/>
          <w:szCs w:val="22"/>
        </w:rPr>
        <w:t>3 1</w:t>
      </w:r>
      <w:bookmarkStart w:id="0" w:name="_GoBack"/>
      <w:bookmarkEnd w:id="0"/>
      <w:r w:rsidR="00A06BF0">
        <w:rPr>
          <w:b/>
          <w:sz w:val="22"/>
          <w:szCs w:val="22"/>
        </w:rPr>
        <w:t>46 811,11</w:t>
      </w:r>
      <w:r>
        <w:rPr>
          <w:b/>
          <w:sz w:val="22"/>
          <w:szCs w:val="22"/>
        </w:rPr>
        <w:t xml:space="preserve"> руб.</w:t>
      </w:r>
    </w:p>
    <w:p w:rsidR="00410E69" w:rsidRDefault="00410E69" w:rsidP="00410E69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Технические характеристики: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7937"/>
        <w:gridCol w:w="709"/>
      </w:tblGrid>
      <w:tr w:rsidR="00410E69" w:rsidTr="00410E69">
        <w:trPr>
          <w:trHeight w:val="2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69" w:rsidRDefault="00410E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  <w:p w:rsidR="00410E69" w:rsidRDefault="00410E6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10E69" w:rsidTr="00410E6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с микропроцессорным управлением (8-07-12)</w:t>
            </w:r>
          </w:p>
          <w:p w:rsidR="00410E69" w:rsidRDefault="00410E6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Формообразующая часть косметической облицовки отсутствует. Косметическое покрытие облицовки отсутствует. Приёмная гильза индивидуальная, не менее одной пробной гильзы, изготовленной по индивидуальному слепку с культи получателя. Материал пробной гильзы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–т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ермопластический.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 xml:space="preserve">Постоянная приемная гильза изготавливается методом вакуумной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инфузии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Гильзовый декор по желанию получателя. Крепление протеза мышечно-вакуумное, при необходимости с использованием бедренного бандажа. Регулировочно-соединительные устройства на нагрузку в соответствии с весом получателя. Стопа с высокой степенью энергосбережения, с расщепленным носком и пяткой. Поглощение вертикального удара и гибкость карбонового модуля.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Мультиосное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движение в голеностопе. Полноразмерная карбоновая стелька обеспечивает мягкий перекат и плавную походку. Непрерывная длина волокна и отсутствие болтовых соединений. Коленный модуль четырехзвенный с микропроцессорным управлением, с функцией гидравлического сопротивления для предотвращения внезапного подгибания колена. Кинематика узла позволяет достигнуть функционального укорочения протеза в фазе переноса при ходьбе, сводя вероятность спотыкания к минимуму. Максимальный угол сгибания 180 гр. Наличие поворотного РСУ, обеспечивающего возможность поворота в согнутой в колене искусственной голени относительно гильзы. Чехол на культю бедра хлопчатобумажный 8 шт. Чехол на культю бедра шерстяной 8 шт.  Чехол на культю бедра из полимерного материала (силиконовый) 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>
              <w:rPr>
                <w:rFonts w:eastAsia="SimSun"/>
                <w:bCs/>
                <w:iCs/>
                <w:sz w:val="20"/>
                <w:szCs w:val="20"/>
              </w:rPr>
              <w:t>1</w:t>
            </w:r>
          </w:p>
        </w:tc>
      </w:tr>
      <w:tr w:rsidR="00410E69" w:rsidTr="00410E6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69" w:rsidRDefault="00410E69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pStyle w:val="afa"/>
              <w:widowControl w:val="0"/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69" w:rsidRDefault="0041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Cs/>
                <w:sz w:val="20"/>
                <w:szCs w:val="20"/>
              </w:rPr>
            </w:pPr>
            <w:r>
              <w:rPr>
                <w:rFonts w:eastAsia="SimSun"/>
                <w:bCs/>
                <w:iCs/>
                <w:sz w:val="20"/>
                <w:szCs w:val="20"/>
              </w:rPr>
              <w:t>1</w:t>
            </w:r>
          </w:p>
        </w:tc>
      </w:tr>
    </w:tbl>
    <w:p w:rsidR="00410E69" w:rsidRDefault="00410E69" w:rsidP="00410E69">
      <w:pPr>
        <w:tabs>
          <w:tab w:val="left" w:pos="283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Федерация, по месту изготовления изделия по индивидуальному заказу получателя.</w:t>
      </w:r>
    </w:p>
    <w:p w:rsidR="00410E69" w:rsidRDefault="00410E69" w:rsidP="00410E69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 обеспечить возможность обращения Получателя с Направлением и получения изделия, то есть обеспечить проведение замеров, примерку и выдачу готового изделия на территории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изделия по месту жительства Получателя. Исполнитель обязан произвести индивидуальную подборку и разработку изделия для Получателя с учетом его физиологических особенностей. Допускается доставка результатов работ по заявлению Получателя почтой по региону отделения Фонда.</w:t>
      </w:r>
    </w:p>
    <w:p w:rsidR="00410E69" w:rsidRDefault="00410E69" w:rsidP="00410E6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со дня, следующего за днем заключения контракта и по 31.08.2023</w:t>
      </w:r>
      <w:r>
        <w:rPr>
          <w:color w:val="FF6600"/>
          <w:sz w:val="22"/>
          <w:szCs w:val="22"/>
        </w:rPr>
        <w:t>.</w:t>
      </w:r>
    </w:p>
    <w:p w:rsidR="00410E69" w:rsidRDefault="00410E69" w:rsidP="00410E69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Срок действия Направления по 01.08.2023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410E69" w:rsidRDefault="00410E69" w:rsidP="00410E69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Выполнение работ по изготовлению изделия и вручение готового изделия Получателю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выданным Направлением от Заказчика.</w:t>
      </w:r>
    </w:p>
    <w:p w:rsidR="00410E69" w:rsidRDefault="00410E69" w:rsidP="00410E6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lastRenderedPageBreak/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инвалида с сопровождающим его лицом (при наличии) в собственном/арендуемом стационаре.</w:t>
      </w:r>
    </w:p>
    <w:p w:rsidR="00410E69" w:rsidRDefault="00410E69" w:rsidP="00410E69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410E69" w:rsidRDefault="00410E69" w:rsidP="00410E6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 бедра модульный с микропроцессорным управлением устанавливается со дня выдачи готового изделия в эксплуатацию и действует не менее 24 месяцев.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инвалида к месту проведения гарантийного ремонта или замены изделия оплачивается Исполнителем.</w:t>
      </w:r>
    </w:p>
    <w:p w:rsidR="00410E69" w:rsidRDefault="00410E69" w:rsidP="00410E6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410E69" w:rsidRDefault="00410E69" w:rsidP="00410E6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410E69" w:rsidRDefault="00410E69" w:rsidP="00410E6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410E69" w:rsidRDefault="00410E69" w:rsidP="00410E69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410E69" w:rsidRDefault="00410E69" w:rsidP="00410E69">
      <w:pPr>
        <w:pStyle w:val="ConsPlusNormal"/>
        <w:ind w:firstLine="567"/>
        <w:jc w:val="both"/>
      </w:pPr>
      <w:r>
        <w:t xml:space="preserve">Протез нижней конечности должен соответствовать требованиям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22523-2007.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</w:t>
      </w:r>
      <w:r>
        <w:rPr>
          <w:color w:val="FF0000"/>
        </w:rPr>
        <w:t xml:space="preserve"> </w:t>
      </w:r>
      <w:r>
        <w:t>«Изделия медицинские.  Требования безопасности. Методы санитарно-химических и токсикологических испытаний».</w:t>
      </w:r>
    </w:p>
    <w:p w:rsidR="00410E69" w:rsidRDefault="00410E69" w:rsidP="00410E69">
      <w:pPr>
        <w:pStyle w:val="ConsPlusNormal"/>
        <w:ind w:firstLine="567"/>
        <w:jc w:val="both"/>
      </w:pPr>
      <w:r>
        <w:t xml:space="preserve">Протез нижней конечности должен быть прочным и выдерживать нагрузку при его применении Получателем способом, назначенным Исполнителем и установленным в инструкции по применению по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410E69" w:rsidRDefault="00410E69" w:rsidP="00410E69">
      <w:pPr>
        <w:pStyle w:val="ConsPlusNormal"/>
        <w:ind w:firstLine="567"/>
        <w:jc w:val="both"/>
      </w:pPr>
      <w:r>
        <w:t>Приемные гильзы и элементы крепления протеза нижней конечности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410E69" w:rsidRDefault="00410E69" w:rsidP="00410E69">
      <w:pPr>
        <w:pStyle w:val="ConsPlusNormal"/>
        <w:ind w:firstLine="567"/>
        <w:jc w:val="both"/>
      </w:pPr>
      <w:r>
        <w:t>Узлы протеза должны быть устойчивыми к воздействию агрессивных биологических жидкостей (пота, мочи).</w:t>
      </w:r>
    </w:p>
    <w:p w:rsidR="00410E69" w:rsidRDefault="00410E69" w:rsidP="00410E69">
      <w:pPr>
        <w:pStyle w:val="ConsPlusNormal"/>
        <w:ind w:firstLine="567"/>
        <w:jc w:val="both"/>
      </w:pPr>
      <w: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протеза нижней конечности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sz w:val="22"/>
          <w:szCs w:val="22"/>
        </w:rPr>
        <w:t>приданном</w:t>
      </w:r>
      <w:proofErr w:type="gramEnd"/>
      <w:r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ампутации. Оболочки и покрытия протеза нижней конечности должны имитировать цвет кожного покрова человека.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обеспечению Получателя протезом нижней конечности следует считать эффективно исполненными, если у Получателя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протеза к месту нахождения Получателя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51632-2021 «Технические средства реабилитации людей с </w:t>
      </w:r>
      <w:r>
        <w:rPr>
          <w:sz w:val="22"/>
          <w:szCs w:val="22"/>
        </w:rPr>
        <w:lastRenderedPageBreak/>
        <w:t>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410E69" w:rsidRDefault="00410E69" w:rsidP="00410E69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Временная противокоррозионная защита протеза нижней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B49E9" w:rsidRPr="00337D92" w:rsidRDefault="004B49E9" w:rsidP="00410E69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bCs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30C6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54197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6960"/>
    <w:rsid w:val="00397AF6"/>
    <w:rsid w:val="003A1B49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0E69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0A9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516DB"/>
    <w:rsid w:val="00563871"/>
    <w:rsid w:val="00566679"/>
    <w:rsid w:val="00570CF4"/>
    <w:rsid w:val="00580094"/>
    <w:rsid w:val="00582437"/>
    <w:rsid w:val="00582B78"/>
    <w:rsid w:val="0058356B"/>
    <w:rsid w:val="00583A62"/>
    <w:rsid w:val="00584F1A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66B8"/>
    <w:rsid w:val="00616CE6"/>
    <w:rsid w:val="00617F6D"/>
    <w:rsid w:val="006221BA"/>
    <w:rsid w:val="0062370D"/>
    <w:rsid w:val="00627F5E"/>
    <w:rsid w:val="00630019"/>
    <w:rsid w:val="006315D1"/>
    <w:rsid w:val="00655A7B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2B33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30C7"/>
    <w:rsid w:val="00894AB6"/>
    <w:rsid w:val="008A1BE7"/>
    <w:rsid w:val="008A61E4"/>
    <w:rsid w:val="008A6D83"/>
    <w:rsid w:val="008B2DC4"/>
    <w:rsid w:val="008C246A"/>
    <w:rsid w:val="008D6CE0"/>
    <w:rsid w:val="008D7DA4"/>
    <w:rsid w:val="008E4AE6"/>
    <w:rsid w:val="008F003B"/>
    <w:rsid w:val="008F4C3E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D44FF"/>
    <w:rsid w:val="009E1B93"/>
    <w:rsid w:val="009E7C34"/>
    <w:rsid w:val="009F0E03"/>
    <w:rsid w:val="00A00BE1"/>
    <w:rsid w:val="00A05521"/>
    <w:rsid w:val="00A0608D"/>
    <w:rsid w:val="00A06BF0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E6A28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16BB"/>
    <w:rsid w:val="00F74A3C"/>
    <w:rsid w:val="00F76ED1"/>
    <w:rsid w:val="00F76FED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4DEF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paragraph" w:customStyle="1" w:styleId="text">
    <w:name w:val="text"/>
    <w:basedOn w:val="a"/>
    <w:rsid w:val="008A6D8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paragraph" w:customStyle="1" w:styleId="text">
    <w:name w:val="text"/>
    <w:basedOn w:val="a"/>
    <w:rsid w:val="008A6D8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6A33-D569-4B4C-B734-105765B3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1063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288</cp:revision>
  <cp:lastPrinted>2022-12-22T01:31:00Z</cp:lastPrinted>
  <dcterms:created xsi:type="dcterms:W3CDTF">2019-12-16T07:59:00Z</dcterms:created>
  <dcterms:modified xsi:type="dcterms:W3CDTF">2022-12-26T07:27:00Z</dcterms:modified>
</cp:coreProperties>
</file>