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9B" w:rsidRPr="002D0787" w:rsidRDefault="00BB669B" w:rsidP="00BB669B">
      <w:pPr>
        <w:jc w:val="right"/>
      </w:pPr>
      <w:r w:rsidRPr="002D0787">
        <w:t xml:space="preserve">Приложение № </w:t>
      </w:r>
      <w:r>
        <w:t>1</w:t>
      </w:r>
    </w:p>
    <w:p w:rsidR="00BB669B" w:rsidRDefault="00BB669B" w:rsidP="00BB669B">
      <w:pPr>
        <w:jc w:val="right"/>
      </w:pPr>
      <w:r>
        <w:t>к</w:t>
      </w:r>
      <w:r w:rsidRPr="002D0787">
        <w:t xml:space="preserve"> извещению о проведении закупки</w:t>
      </w:r>
    </w:p>
    <w:p w:rsidR="00BB669B" w:rsidRDefault="00BB669B"/>
    <w:p w:rsidR="00BB669B" w:rsidRDefault="00BB669B" w:rsidP="00BB669B">
      <w:pPr>
        <w:jc w:val="center"/>
        <w:rPr>
          <w:b/>
        </w:rPr>
      </w:pPr>
      <w:r w:rsidRPr="00A072E1">
        <w:rPr>
          <w:b/>
        </w:rPr>
        <w:t>Описание объекта закупки (техническое задание)</w:t>
      </w:r>
    </w:p>
    <w:p w:rsidR="00E1287C" w:rsidRDefault="00FC649A" w:rsidP="00E1287C">
      <w:pPr>
        <w:jc w:val="center"/>
      </w:pPr>
      <w:r w:rsidRPr="00FC649A">
        <w:t>на выполнение работ по изготовлению протезов предплечья с микропроцессорным управлением (далее – Изделия) для инвалидов (далее – Получатели) в 2022 году</w:t>
      </w:r>
    </w:p>
    <w:p w:rsidR="00FC649A" w:rsidRDefault="00FC649A" w:rsidP="00E1287C">
      <w:pPr>
        <w:jc w:val="center"/>
      </w:pPr>
    </w:p>
    <w:p w:rsidR="00FC649A" w:rsidRPr="00E03ECF" w:rsidRDefault="00FC649A" w:rsidP="00FC649A">
      <w:pPr>
        <w:spacing w:before="120"/>
        <w:jc w:val="both"/>
      </w:pPr>
      <w:r w:rsidRPr="00E03ECF">
        <w:rPr>
          <w:b/>
        </w:rPr>
        <w:t xml:space="preserve">Срок </w:t>
      </w:r>
      <w:r>
        <w:rPr>
          <w:b/>
        </w:rPr>
        <w:t>выполнения работ</w:t>
      </w:r>
      <w:r w:rsidRPr="00E03ECF">
        <w:rPr>
          <w:b/>
        </w:rPr>
        <w:t>:</w:t>
      </w:r>
      <w:r w:rsidRPr="00E03ECF">
        <w:t xml:space="preserve"> </w:t>
      </w:r>
      <w:r w:rsidRPr="00B90B12">
        <w:t xml:space="preserve">со дня, следующего за днем заключения государственного контракта, до </w:t>
      </w:r>
      <w:r>
        <w:t>30</w:t>
      </w:r>
      <w:r w:rsidRPr="00B90B12">
        <w:t>.</w:t>
      </w:r>
      <w:r>
        <w:t>10.2022</w:t>
      </w:r>
      <w:r w:rsidRPr="00B90B12">
        <w:t xml:space="preserve"> включительно</w:t>
      </w:r>
    </w:p>
    <w:p w:rsidR="00FC649A" w:rsidRDefault="00FC649A" w:rsidP="00FC649A">
      <w:pPr>
        <w:spacing w:before="120"/>
        <w:jc w:val="both"/>
      </w:pPr>
      <w:r>
        <w:rPr>
          <w:b/>
        </w:rPr>
        <w:t>Место выполнения работ</w:t>
      </w:r>
      <w:r w:rsidRPr="00E03ECF">
        <w:rPr>
          <w:b/>
        </w:rPr>
        <w:t>:</w:t>
      </w:r>
      <w:r w:rsidRPr="00E03ECF">
        <w:t xml:space="preserve"> </w:t>
      </w:r>
      <w:r>
        <w:t>Российская Федерация, пункт приема Получателей: Санкт-Петербург</w:t>
      </w:r>
    </w:p>
    <w:p w:rsidR="00FC649A" w:rsidRDefault="00FC649A" w:rsidP="00FC649A">
      <w:pPr>
        <w:spacing w:before="120"/>
        <w:jc w:val="both"/>
      </w:pPr>
      <w:r w:rsidRPr="005C2409">
        <w:rPr>
          <w:b/>
        </w:rPr>
        <w:t>Срок завершения работ</w:t>
      </w:r>
      <w:r>
        <w:rPr>
          <w:b/>
        </w:rPr>
        <w:t xml:space="preserve">: </w:t>
      </w:r>
      <w:r w:rsidRPr="00B90B12">
        <w:t xml:space="preserve">до </w:t>
      </w:r>
      <w:r>
        <w:t xml:space="preserve">30 октября </w:t>
      </w:r>
      <w:r w:rsidRPr="00B90B12">
        <w:t>202</w:t>
      </w:r>
      <w:r>
        <w:t>2</w:t>
      </w:r>
      <w:r w:rsidRPr="00B90B12">
        <w:t xml:space="preserve"> включительно</w:t>
      </w:r>
    </w:p>
    <w:p w:rsidR="00FC649A" w:rsidRPr="00F32DB0" w:rsidRDefault="00FC649A" w:rsidP="00FC649A">
      <w:pPr>
        <w:spacing w:before="120"/>
        <w:jc w:val="both"/>
      </w:pPr>
      <w:r>
        <w:t xml:space="preserve">1. </w:t>
      </w:r>
      <w:r w:rsidRPr="007135BD">
        <w:t xml:space="preserve">Исполнитель обязан обеспечить выполнение работ </w:t>
      </w:r>
      <w:r w:rsidRPr="00F32DB0">
        <w:t xml:space="preserve">по наименованию, в количестве и в сроки, </w:t>
      </w:r>
      <w:r w:rsidRPr="000356EF">
        <w:t>предъявляемыми в настоящем техническом задании, в период действия государственного контракта</w:t>
      </w:r>
      <w:r>
        <w:t>.</w:t>
      </w:r>
    </w:p>
    <w:p w:rsidR="00FC649A" w:rsidRPr="00B123DD" w:rsidRDefault="00FC649A" w:rsidP="00FC649A">
      <w:pPr>
        <w:spacing w:before="120"/>
        <w:ind w:right="-23"/>
        <w:jc w:val="both"/>
        <w:rPr>
          <w:lang w:eastAsia="en-US"/>
        </w:rPr>
      </w:pPr>
      <w:r>
        <w:t>2. Исполнитель</w:t>
      </w:r>
      <w:r w:rsidRPr="00383712">
        <w:t xml:space="preserve">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w:t>
      </w:r>
      <w:r>
        <w:t>Изделие</w:t>
      </w:r>
      <w:r w:rsidRPr="00383712">
        <w:t xml:space="preserve"> подлежит регистрации), и (или) декларации о соответствии или сертификата соответствия </w:t>
      </w:r>
      <w:r>
        <w:t>Изделия</w:t>
      </w:r>
      <w:r w:rsidRPr="00383712">
        <w:t xml:space="preserve"> либо иных документов, свидетельствующих о качестве и безопасности </w:t>
      </w:r>
      <w:r>
        <w:t>Изделия</w:t>
      </w:r>
      <w:r w:rsidRPr="00383712">
        <w:t>, предусмотренных действующим законод</w:t>
      </w:r>
      <w:r>
        <w:t>ательством Российской Федерации</w:t>
      </w:r>
      <w:r w:rsidRPr="00383712">
        <w:t xml:space="preserve">. В случае окончания срока действия указанных документов до полного исполнения обязательств по государственному контракту </w:t>
      </w:r>
      <w:r>
        <w:t>Исполнитель</w:t>
      </w:r>
      <w:r w:rsidRPr="00383712">
        <w:t xml:space="preserve"> в установленные законодательством Российской Федерации сроки обязан обеспечить их продление либо получение новых.  </w:t>
      </w:r>
    </w:p>
    <w:p w:rsidR="00FC649A" w:rsidRDefault="00FC649A" w:rsidP="00FC649A">
      <w:pPr>
        <w:jc w:val="both"/>
      </w:pPr>
    </w:p>
    <w:p w:rsidR="00FC649A" w:rsidRPr="00B90B12" w:rsidRDefault="00FC649A" w:rsidP="00FC649A">
      <w:pPr>
        <w:rPr>
          <w:bCs/>
        </w:rPr>
      </w:pPr>
      <w:r>
        <w:t>3</w:t>
      </w:r>
      <w:r w:rsidRPr="00B90B12">
        <w:t xml:space="preserve">. </w:t>
      </w:r>
      <w:r w:rsidRPr="00B90B12">
        <w:rPr>
          <w:bCs/>
        </w:rPr>
        <w:t>Характеристики объекта закупки.</w:t>
      </w:r>
    </w:p>
    <w:p w:rsidR="00E1287C" w:rsidRDefault="00E1287C" w:rsidP="00E1287C">
      <w:pPr>
        <w:spacing w:after="33" w:line="229" w:lineRule="auto"/>
        <w:ind w:right="-58"/>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5141"/>
        <w:gridCol w:w="1843"/>
        <w:gridCol w:w="992"/>
      </w:tblGrid>
      <w:tr w:rsidR="00FC649A" w:rsidRPr="00136F52" w:rsidTr="009B084D">
        <w:tc>
          <w:tcPr>
            <w:tcW w:w="2480" w:type="dxa"/>
            <w:shd w:val="clear" w:color="auto" w:fill="auto"/>
          </w:tcPr>
          <w:p w:rsidR="00FC649A" w:rsidRPr="00136F52" w:rsidRDefault="00FC649A" w:rsidP="009B084D">
            <w:pPr>
              <w:widowControl w:val="0"/>
              <w:suppressAutoHyphens/>
              <w:jc w:val="center"/>
              <w:rPr>
                <w:bCs/>
                <w:color w:val="000000"/>
              </w:rPr>
            </w:pPr>
            <w:r w:rsidRPr="00B90B12">
              <w:t xml:space="preserve">Наименование Изделия </w:t>
            </w:r>
          </w:p>
        </w:tc>
        <w:tc>
          <w:tcPr>
            <w:tcW w:w="5141" w:type="dxa"/>
            <w:shd w:val="clear" w:color="auto" w:fill="auto"/>
          </w:tcPr>
          <w:p w:rsidR="00FC649A" w:rsidRPr="00B90B12" w:rsidRDefault="00FC649A" w:rsidP="009B084D">
            <w:pPr>
              <w:widowControl w:val="0"/>
              <w:suppressAutoHyphens/>
              <w:snapToGrid w:val="0"/>
              <w:jc w:val="center"/>
            </w:pPr>
            <w:r w:rsidRPr="00B90B12">
              <w:t>Характеристика Изделия</w:t>
            </w:r>
          </w:p>
        </w:tc>
        <w:tc>
          <w:tcPr>
            <w:tcW w:w="1843" w:type="dxa"/>
            <w:shd w:val="clear" w:color="auto" w:fill="auto"/>
          </w:tcPr>
          <w:p w:rsidR="00FC649A" w:rsidRPr="00B90B12" w:rsidRDefault="00FC649A" w:rsidP="009B084D">
            <w:pPr>
              <w:widowControl w:val="0"/>
              <w:suppressAutoHyphens/>
              <w:snapToGrid w:val="0"/>
              <w:ind w:left="-110" w:firstLine="110"/>
              <w:jc w:val="center"/>
            </w:pPr>
            <w:r w:rsidRPr="00B90B12">
              <w:t>ГОСТ, технический регламент/</w:t>
            </w:r>
            <w:r>
              <w:t xml:space="preserve"> </w:t>
            </w:r>
            <w:r w:rsidRPr="00B90B12">
              <w:t>обоснование использования (в том числе его характеристика)</w:t>
            </w:r>
          </w:p>
        </w:tc>
        <w:tc>
          <w:tcPr>
            <w:tcW w:w="992" w:type="dxa"/>
            <w:shd w:val="clear" w:color="auto" w:fill="auto"/>
          </w:tcPr>
          <w:p w:rsidR="00FC649A" w:rsidRDefault="00FC649A" w:rsidP="009B084D">
            <w:pPr>
              <w:widowControl w:val="0"/>
              <w:suppressAutoHyphens/>
              <w:snapToGrid w:val="0"/>
              <w:jc w:val="center"/>
            </w:pPr>
            <w:r w:rsidRPr="00B90B12">
              <w:t>Объем</w:t>
            </w:r>
            <w:r>
              <w:t xml:space="preserve">, </w:t>
            </w:r>
          </w:p>
          <w:p w:rsidR="00FC649A" w:rsidRPr="00B90B12" w:rsidRDefault="00FC649A" w:rsidP="009B084D">
            <w:pPr>
              <w:widowControl w:val="0"/>
              <w:suppressAutoHyphens/>
              <w:snapToGrid w:val="0"/>
              <w:jc w:val="center"/>
            </w:pPr>
            <w:r>
              <w:t>шт</w:t>
            </w:r>
          </w:p>
        </w:tc>
      </w:tr>
      <w:tr w:rsidR="00FC649A" w:rsidRPr="00136F52" w:rsidTr="009B084D">
        <w:tc>
          <w:tcPr>
            <w:tcW w:w="2480" w:type="dxa"/>
            <w:shd w:val="clear" w:color="auto" w:fill="auto"/>
          </w:tcPr>
          <w:p w:rsidR="00FC649A" w:rsidRPr="000A512A" w:rsidRDefault="00FC649A" w:rsidP="009B084D">
            <w:pPr>
              <w:tabs>
                <w:tab w:val="left" w:pos="9180"/>
              </w:tabs>
              <w:suppressAutoHyphens/>
              <w:spacing w:line="240" w:lineRule="atLeast"/>
            </w:pPr>
            <w:r w:rsidRPr="000A512A">
              <w:t xml:space="preserve">Протез </w:t>
            </w:r>
            <w:r>
              <w:t>предплечья</w:t>
            </w:r>
            <w:r w:rsidRPr="000A512A">
              <w:t xml:space="preserve"> с микропроцессорным управлением </w:t>
            </w:r>
          </w:p>
          <w:p w:rsidR="00FC649A" w:rsidRPr="00CA26C6" w:rsidRDefault="00FC649A" w:rsidP="009B084D">
            <w:pPr>
              <w:tabs>
                <w:tab w:val="left" w:pos="9180"/>
              </w:tabs>
              <w:suppressAutoHyphens/>
              <w:spacing w:line="240" w:lineRule="atLeast"/>
              <w:ind w:left="-95"/>
            </w:pPr>
          </w:p>
        </w:tc>
        <w:tc>
          <w:tcPr>
            <w:tcW w:w="5141" w:type="dxa"/>
            <w:shd w:val="clear" w:color="auto" w:fill="auto"/>
          </w:tcPr>
          <w:p w:rsidR="00FC649A" w:rsidRDefault="00FC649A" w:rsidP="009B084D">
            <w:pPr>
              <w:tabs>
                <w:tab w:val="left" w:pos="9180"/>
              </w:tabs>
              <w:suppressAutoHyphens/>
              <w:spacing w:line="240" w:lineRule="atLeast"/>
              <w:ind w:left="34"/>
              <w:jc w:val="both"/>
              <w:rPr>
                <w:color w:val="000000"/>
              </w:rPr>
            </w:pPr>
            <w:r w:rsidRPr="00CB042A">
              <w:t xml:space="preserve">Протез </w:t>
            </w:r>
            <w:r>
              <w:t>предплечья</w:t>
            </w:r>
            <w:r w:rsidRPr="00CB042A">
              <w:rPr>
                <w:b/>
                <w:color w:val="000000"/>
              </w:rPr>
              <w:t xml:space="preserve"> </w:t>
            </w:r>
            <w:r w:rsidRPr="00CB042A">
              <w:rPr>
                <w:color w:val="000000"/>
              </w:rPr>
              <w:t xml:space="preserve">с </w:t>
            </w:r>
            <w:r>
              <w:rPr>
                <w:color w:val="000000"/>
              </w:rPr>
              <w:t xml:space="preserve">микропроцессорным </w:t>
            </w:r>
            <w:r w:rsidRPr="00D0248F">
              <w:t xml:space="preserve">управлением должен быть с внешним источником энергии, индивидуального изготовления, с изготовлением приёмной гильзы по слепку. Внешняя или несущая гильза изготавливается по индивидуальному слепку из слоистых композиционных </w:t>
            </w:r>
            <w:r>
              <w:rPr>
                <w:color w:val="000000"/>
              </w:rPr>
              <w:t xml:space="preserve">материалов на основе акриловых смол с угле- и стекловолоконным наполнителем или слоистого пластика на основе акриловых смол. Постоянная или приемная гильза изготавливается из мягких смол (термолин) или силикона медицинского назначения. Кисть протеза должна обладать двумя независимыми системами пропорционального управления скоростью и силой схвата. Модуль кисти должен иметь: не менее 6 независимых степеней свободы – по одной на каждый палец и активную ротацию большого пальца или иметь 4 метода управления, которые дают свободу выбора: управление при помощи простых жестов, управление из мобильного </w:t>
            </w:r>
            <w:r>
              <w:rPr>
                <w:color w:val="000000"/>
              </w:rPr>
              <w:lastRenderedPageBreak/>
              <w:t xml:space="preserve">приложения, управление при помощи мышц культи, дистанционное беспроводное управление, или обладать возможностью раздельного управления движениями каждого пальца. Пальцы со 2-го по 5-й должны иметь 2 подвижных взаимозависимых сустава. Большой палец кисти с электромеханическим управлением движений должен обеспечивать их позиционное противопоставление, сгибание – разгибание, приведение – отведение или каждый палец кисти может быть оснащен индивидуальным электромеханическим приводом. Кисть должна допускать максимальное раскрытие не менее 100 мм и реализовывать от 14 до 36 видов схвата. Функция ротации и тыльно - ладонного сгибания должна быть реализована в составе модуля кисти. </w:t>
            </w:r>
          </w:p>
          <w:p w:rsidR="00FC649A" w:rsidRPr="00FD427E" w:rsidRDefault="00FC649A" w:rsidP="009B084D">
            <w:pPr>
              <w:jc w:val="both"/>
              <w:rPr>
                <w:lang w:val="ru"/>
              </w:rPr>
            </w:pPr>
            <w:r>
              <w:t>Н</w:t>
            </w:r>
            <w:r w:rsidRPr="004C551B">
              <w:t>еотъемлем</w:t>
            </w:r>
            <w:r>
              <w:t>ой</w:t>
            </w:r>
            <w:r w:rsidRPr="004C551B">
              <w:t xml:space="preserve"> составляющ</w:t>
            </w:r>
            <w:r>
              <w:t>ей частью протеза является</w:t>
            </w:r>
            <w:r w:rsidRPr="004C551B">
              <w:t xml:space="preserve"> </w:t>
            </w:r>
            <w:r>
              <w:t>хлопчатобумажный чехол, который предназначен</w:t>
            </w:r>
            <w:r w:rsidRPr="004C551B">
              <w:t xml:space="preserve"> для примерки и использования.</w:t>
            </w:r>
          </w:p>
        </w:tc>
        <w:tc>
          <w:tcPr>
            <w:tcW w:w="1843" w:type="dxa"/>
            <w:shd w:val="clear" w:color="auto" w:fill="auto"/>
          </w:tcPr>
          <w:p w:rsidR="00FC649A" w:rsidRPr="00CA26C6" w:rsidRDefault="00FC649A" w:rsidP="009B084D">
            <w:r>
              <w:lastRenderedPageBreak/>
              <w:t>Акты м</w:t>
            </w:r>
            <w:r w:rsidRPr="00F15ACD">
              <w:t>едико-техническо</w:t>
            </w:r>
            <w:r>
              <w:t>й</w:t>
            </w:r>
            <w:r w:rsidRPr="00F15ACD">
              <w:t xml:space="preserve"> </w:t>
            </w:r>
            <w:r>
              <w:t xml:space="preserve">комиссии </w:t>
            </w:r>
          </w:p>
        </w:tc>
        <w:tc>
          <w:tcPr>
            <w:tcW w:w="992" w:type="dxa"/>
            <w:shd w:val="clear" w:color="auto" w:fill="auto"/>
          </w:tcPr>
          <w:p w:rsidR="00FC649A" w:rsidRPr="00B90B12" w:rsidRDefault="00FC649A" w:rsidP="009B084D">
            <w:pPr>
              <w:ind w:firstLine="33"/>
              <w:jc w:val="center"/>
            </w:pPr>
            <w:r>
              <w:t>5</w:t>
            </w:r>
          </w:p>
        </w:tc>
      </w:tr>
      <w:tr w:rsidR="00FC649A" w:rsidRPr="00136F52" w:rsidTr="009B084D">
        <w:tc>
          <w:tcPr>
            <w:tcW w:w="2480" w:type="dxa"/>
            <w:shd w:val="clear" w:color="auto" w:fill="auto"/>
          </w:tcPr>
          <w:p w:rsidR="00FC649A" w:rsidRPr="000A512A" w:rsidRDefault="00FC649A" w:rsidP="009B084D">
            <w:pPr>
              <w:tabs>
                <w:tab w:val="left" w:pos="9180"/>
              </w:tabs>
              <w:suppressAutoHyphens/>
              <w:spacing w:line="240" w:lineRule="atLeast"/>
            </w:pPr>
            <w:r w:rsidRPr="000A512A">
              <w:lastRenderedPageBreak/>
              <w:t xml:space="preserve">Протез </w:t>
            </w:r>
            <w:r>
              <w:t>предплечья</w:t>
            </w:r>
            <w:r w:rsidRPr="000A512A">
              <w:t xml:space="preserve"> с микропроцессорным управлением </w:t>
            </w:r>
          </w:p>
          <w:p w:rsidR="00FC649A" w:rsidRPr="000A512A" w:rsidRDefault="00FC649A" w:rsidP="009B084D">
            <w:pPr>
              <w:tabs>
                <w:tab w:val="left" w:pos="9180"/>
              </w:tabs>
              <w:suppressAutoHyphens/>
              <w:spacing w:line="240" w:lineRule="atLeast"/>
            </w:pPr>
          </w:p>
        </w:tc>
        <w:tc>
          <w:tcPr>
            <w:tcW w:w="5141" w:type="dxa"/>
            <w:shd w:val="clear" w:color="auto" w:fill="auto"/>
          </w:tcPr>
          <w:p w:rsidR="00FC649A" w:rsidRPr="00CB042A" w:rsidRDefault="00FC649A" w:rsidP="009B084D">
            <w:pPr>
              <w:tabs>
                <w:tab w:val="left" w:pos="9180"/>
              </w:tabs>
              <w:suppressAutoHyphens/>
              <w:spacing w:line="240" w:lineRule="atLeast"/>
              <w:ind w:left="34"/>
              <w:jc w:val="both"/>
            </w:pPr>
            <w:r w:rsidRPr="00CB042A">
              <w:t xml:space="preserve">Протез </w:t>
            </w:r>
            <w:r>
              <w:t>предплечья</w:t>
            </w:r>
            <w:r w:rsidRPr="00CB042A">
              <w:rPr>
                <w:b/>
                <w:color w:val="000000"/>
              </w:rPr>
              <w:t xml:space="preserve"> </w:t>
            </w:r>
            <w:r w:rsidRPr="00CB042A">
              <w:rPr>
                <w:color w:val="000000"/>
              </w:rPr>
              <w:t xml:space="preserve">с </w:t>
            </w:r>
            <w:r>
              <w:rPr>
                <w:color w:val="000000"/>
              </w:rPr>
              <w:t xml:space="preserve">микропроцессорным </w:t>
            </w:r>
            <w:r w:rsidRPr="00D0248F">
              <w:t xml:space="preserve">управлением должен быть с внешним источником энергии, индивидуального изготовления, с изготовлением приёмной гильзы по слепку. Внешняя или несущая гильза изготавливается по индивидуальному слепку из слоистых композиционных </w:t>
            </w:r>
            <w:r>
              <w:rPr>
                <w:color w:val="000000"/>
              </w:rPr>
              <w:t xml:space="preserve">материалов на основе акриловых смол с угле- и стекловолоконным наполнителем или слоистого пластика на основе акриловых смол. Постоянная или приемная гильза изготавливается из мягких смол (термолин) или силикона медицинского назначения с металлическими закладными элементами. Кисть протеза должна обладать двумя независимыми системами пропорционального управления скоростью и силой схвата. Модуль кисти должен иметь: не менее 6 независимых степеней свободы – по одной на каждый палец и активную ротацию большого пальца или иметь 4 метода управления, которые дают свободу выбора: управление при помощи простых жестов, управление из мобильного приложения, управление при помощи мышц культи, дистанционное беспроводное управление, или обладать возможностью раздельного управления движениями каждого пальца. Пальцы со 2-го по 5-й должны иметь 2 подвижных взаимозависимых сустава. Большой палец кисти с электромеханическим управлением движений должен обеспечивать их позиционное противопоставление, сгибание – разгибание, приведение – отведение или каждый палец кисти может быть оснащен индивидуальным электромеханическим </w:t>
            </w:r>
            <w:r>
              <w:rPr>
                <w:color w:val="000000"/>
              </w:rPr>
              <w:lastRenderedPageBreak/>
              <w:t>приводом. Кисть должна допускать максимальное раскрытие не менее 100 мм и реализовывать от 14 до 36 видов схвата. Функция ротации и тыльно - ладонного сгибания должна быть реализована в составе модуля кисти.</w:t>
            </w:r>
          </w:p>
        </w:tc>
        <w:tc>
          <w:tcPr>
            <w:tcW w:w="1843" w:type="dxa"/>
            <w:shd w:val="clear" w:color="auto" w:fill="auto"/>
          </w:tcPr>
          <w:p w:rsidR="00FC649A" w:rsidRDefault="00FC649A" w:rsidP="009B084D">
            <w:r>
              <w:lastRenderedPageBreak/>
              <w:t>Медико-техническое заключение</w:t>
            </w:r>
          </w:p>
        </w:tc>
        <w:tc>
          <w:tcPr>
            <w:tcW w:w="992" w:type="dxa"/>
            <w:shd w:val="clear" w:color="auto" w:fill="auto"/>
          </w:tcPr>
          <w:p w:rsidR="00FC649A" w:rsidRDefault="00FC649A" w:rsidP="009B084D">
            <w:pPr>
              <w:ind w:firstLine="33"/>
              <w:jc w:val="center"/>
            </w:pPr>
            <w:r>
              <w:t>1</w:t>
            </w:r>
          </w:p>
        </w:tc>
      </w:tr>
      <w:tr w:rsidR="00FC649A" w:rsidRPr="00136F52" w:rsidTr="009B084D">
        <w:tc>
          <w:tcPr>
            <w:tcW w:w="9464" w:type="dxa"/>
            <w:gridSpan w:val="3"/>
            <w:shd w:val="clear" w:color="auto" w:fill="auto"/>
          </w:tcPr>
          <w:p w:rsidR="00FC649A" w:rsidRDefault="00FC649A" w:rsidP="009B084D">
            <w:pPr>
              <w:jc w:val="right"/>
            </w:pPr>
            <w:r>
              <w:lastRenderedPageBreak/>
              <w:t>Итого:</w:t>
            </w:r>
          </w:p>
        </w:tc>
        <w:tc>
          <w:tcPr>
            <w:tcW w:w="992" w:type="dxa"/>
            <w:shd w:val="clear" w:color="auto" w:fill="auto"/>
          </w:tcPr>
          <w:p w:rsidR="00FC649A" w:rsidRDefault="00FC649A" w:rsidP="009B084D">
            <w:pPr>
              <w:ind w:firstLine="33"/>
              <w:jc w:val="center"/>
            </w:pPr>
            <w:r>
              <w:fldChar w:fldCharType="begin"/>
            </w:r>
            <w:r>
              <w:instrText xml:space="preserve"> =SUM(ABOVE) </w:instrText>
            </w:r>
            <w:r>
              <w:fldChar w:fldCharType="separate"/>
            </w:r>
            <w:r>
              <w:rPr>
                <w:noProof/>
              </w:rPr>
              <w:t>6</w:t>
            </w:r>
            <w:r>
              <w:fldChar w:fldCharType="end"/>
            </w:r>
          </w:p>
        </w:tc>
      </w:tr>
    </w:tbl>
    <w:p w:rsidR="00E1287C" w:rsidRPr="00E1287C" w:rsidRDefault="00E1287C" w:rsidP="00E1287C">
      <w:pPr>
        <w:spacing w:after="33" w:line="229" w:lineRule="auto"/>
        <w:ind w:right="-58"/>
        <w:jc w:val="both"/>
        <w:rPr>
          <w:color w:val="000000"/>
        </w:rPr>
      </w:pPr>
    </w:p>
    <w:p w:rsidR="00FC649A" w:rsidRDefault="00FC649A" w:rsidP="00FC649A">
      <w:pPr>
        <w:ind w:right="-24"/>
        <w:jc w:val="both"/>
        <w:rPr>
          <w:lang w:eastAsia="en-US"/>
        </w:rPr>
      </w:pPr>
      <w:r>
        <w:rPr>
          <w:bCs/>
          <w:lang w:eastAsia="en-US"/>
        </w:rPr>
        <w:t>3.1.</w:t>
      </w:r>
      <w:r w:rsidRPr="00382B89">
        <w:rPr>
          <w:lang w:eastAsia="en-US"/>
        </w:rPr>
        <w:t xml:space="preserve"> </w:t>
      </w:r>
      <w:r w:rsidRPr="005803EF">
        <w:rPr>
          <w:lang w:eastAsia="en-US"/>
        </w:rPr>
        <w:t>При использовании Издели</w:t>
      </w:r>
      <w:r>
        <w:rPr>
          <w:lang w:eastAsia="en-US"/>
        </w:rPr>
        <w:t>я</w:t>
      </w:r>
      <w:r w:rsidRPr="005803EF">
        <w:rPr>
          <w:lang w:eastAsia="en-US"/>
        </w:rPr>
        <w:t xml:space="preserve"> по назначению не должно создаваться угрозы для жизни и здоровья потребителя, окружающей среды, а также использование Издели</w:t>
      </w:r>
      <w:r>
        <w:rPr>
          <w:lang w:eastAsia="en-US"/>
        </w:rPr>
        <w:t>я</w:t>
      </w:r>
      <w:r w:rsidRPr="005803EF">
        <w:rPr>
          <w:lang w:eastAsia="en-US"/>
        </w:rPr>
        <w:t xml:space="preserve"> не должно причинять вред имуществу потребителя при его эксплуатации (Закон Росси</w:t>
      </w:r>
      <w:r>
        <w:rPr>
          <w:lang w:eastAsia="en-US"/>
        </w:rPr>
        <w:t>йской Федерации от 07.02.1992 №</w:t>
      </w:r>
      <w:r w:rsidRPr="005803EF">
        <w:rPr>
          <w:lang w:eastAsia="en-US"/>
        </w:rPr>
        <w:t>2300-1 «О защите прав потребителей»).</w:t>
      </w:r>
    </w:p>
    <w:p w:rsidR="00FC649A" w:rsidRPr="001F00EA" w:rsidRDefault="00FC649A" w:rsidP="00FC649A">
      <w:pPr>
        <w:jc w:val="both"/>
        <w:rPr>
          <w:color w:val="000000"/>
          <w:sz w:val="20"/>
          <w:szCs w:val="20"/>
        </w:rPr>
      </w:pPr>
      <w:r>
        <w:rPr>
          <w:lang w:eastAsia="en-US"/>
        </w:rPr>
        <w:t xml:space="preserve">3.2. </w:t>
      </w:r>
      <w:r w:rsidRPr="001F00EA">
        <w:rPr>
          <w:color w:val="000000"/>
          <w:lang w:eastAsia="ar-SA"/>
        </w:rPr>
        <w:t>Изделия (элементы Изделий) должны соответствовать требованиям государственных стандартов (ГОСТ), действующих на территории Российской Федерации:</w:t>
      </w:r>
      <w:r w:rsidRPr="001F00EA">
        <w:rPr>
          <w:color w:val="000000"/>
          <w:sz w:val="20"/>
          <w:szCs w:val="20"/>
        </w:rPr>
        <w:t xml:space="preserve"> </w:t>
      </w:r>
    </w:p>
    <w:p w:rsidR="00FC649A" w:rsidRDefault="00FC649A" w:rsidP="00FC649A">
      <w:pPr>
        <w:ind w:right="-1"/>
        <w:jc w:val="both"/>
        <w:rPr>
          <w:rFonts w:ascii="Times New Roman CYR" w:hAnsi="Times New Roman CYR" w:cs="Times New Roman CYR"/>
          <w:color w:val="000000"/>
        </w:rPr>
      </w:pPr>
      <w:r w:rsidRPr="001F00EA">
        <w:rPr>
          <w:rFonts w:ascii="Times New Roman CYR" w:hAnsi="Times New Roman CYR" w:cs="Times New Roman CYR"/>
          <w:color w:val="000000"/>
        </w:rPr>
        <w:t>- ГОСТ Р 56138-2021 «Протезы верхних конечностей. Технические требования»</w:t>
      </w:r>
      <w:r>
        <w:rPr>
          <w:rFonts w:ascii="Times New Roman CYR" w:hAnsi="Times New Roman CYR" w:cs="Times New Roman CYR"/>
          <w:color w:val="000000"/>
        </w:rPr>
        <w:t>;</w:t>
      </w:r>
    </w:p>
    <w:p w:rsidR="00FC649A" w:rsidRPr="001F00EA" w:rsidRDefault="00FC649A" w:rsidP="00FC649A">
      <w:pPr>
        <w:ind w:right="-1"/>
        <w:jc w:val="both"/>
        <w:rPr>
          <w:rFonts w:ascii="Times New Roman CYR" w:hAnsi="Times New Roman CYR" w:cs="Times New Roman CYR"/>
          <w:color w:val="000000"/>
        </w:rPr>
      </w:pPr>
      <w:r w:rsidRPr="001F00EA">
        <w:rPr>
          <w:rFonts w:ascii="Times New Roman CYR" w:hAnsi="Times New Roman CYR" w:cs="Times New Roman CYR"/>
          <w:color w:val="000000"/>
        </w:rPr>
        <w:t>- ГОСТ Р 58267-2018 «Протезы наружные верхних конечностей. Термины и определения.</w:t>
      </w:r>
      <w:r>
        <w:rPr>
          <w:rFonts w:ascii="Times New Roman CYR" w:hAnsi="Times New Roman CYR" w:cs="Times New Roman CYR"/>
          <w:color w:val="000000"/>
        </w:rPr>
        <w:t xml:space="preserve"> </w:t>
      </w:r>
      <w:r w:rsidRPr="001F00EA">
        <w:rPr>
          <w:rFonts w:ascii="Times New Roman CYR" w:hAnsi="Times New Roman CYR" w:cs="Times New Roman CYR"/>
          <w:color w:val="000000"/>
        </w:rPr>
        <w:t xml:space="preserve">            Классификация»</w:t>
      </w:r>
      <w:r>
        <w:rPr>
          <w:rFonts w:ascii="Times New Roman CYR" w:hAnsi="Times New Roman CYR" w:cs="Times New Roman CYR"/>
          <w:color w:val="000000"/>
        </w:rPr>
        <w:t>;</w:t>
      </w:r>
    </w:p>
    <w:p w:rsidR="00FC649A" w:rsidRPr="003636E5" w:rsidRDefault="00FC649A" w:rsidP="00FC649A">
      <w:pPr>
        <w:autoSpaceDE w:val="0"/>
        <w:autoSpaceDN w:val="0"/>
        <w:adjustRightInd w:val="0"/>
        <w:jc w:val="both"/>
        <w:rPr>
          <w:lang w:eastAsia="en-US"/>
        </w:rPr>
      </w:pPr>
      <w:r>
        <w:rPr>
          <w:lang w:eastAsia="en-US"/>
        </w:rPr>
        <w:t>- ГОСТ Р 51819-2017 «Протезирование и ортезирование</w:t>
      </w:r>
      <w:r w:rsidRPr="00A23A50">
        <w:rPr>
          <w:lang w:eastAsia="en-US"/>
        </w:rPr>
        <w:t xml:space="preserve"> </w:t>
      </w:r>
      <w:r>
        <w:rPr>
          <w:lang w:eastAsia="en-US"/>
        </w:rPr>
        <w:t>верхних и нижних конечностей». (</w:t>
      </w:r>
      <w:r w:rsidRPr="003636E5">
        <w:rPr>
          <w:lang w:eastAsia="en-US"/>
        </w:rPr>
        <w:t xml:space="preserve">данный документ утрачивает силу с 01.11.2022 в связи с изданием Приказа Росстандарта от 05.04.2022 </w:t>
      </w:r>
      <w:r>
        <w:rPr>
          <w:lang w:eastAsia="en-US"/>
        </w:rPr>
        <w:t>№</w:t>
      </w:r>
      <w:r w:rsidRPr="003636E5">
        <w:rPr>
          <w:lang w:eastAsia="en-US"/>
        </w:rPr>
        <w:t>199-ст. Взамен вводится в действие ГОСТ Р 51819-2022).</w:t>
      </w:r>
    </w:p>
    <w:p w:rsidR="00FC649A" w:rsidRDefault="00FC649A" w:rsidP="00FC649A">
      <w:pPr>
        <w:ind w:right="-24"/>
        <w:jc w:val="both"/>
        <w:rPr>
          <w:bCs/>
          <w:lang w:eastAsia="en-US"/>
        </w:rPr>
      </w:pPr>
      <w:r>
        <w:rPr>
          <w:bCs/>
          <w:lang w:eastAsia="en-US"/>
        </w:rPr>
        <w:t>3.3.</w:t>
      </w:r>
      <w:r w:rsidRPr="00382B89">
        <w:t xml:space="preserve"> </w:t>
      </w:r>
      <w:r w:rsidRPr="005803EF">
        <w:t>Издели</w:t>
      </w:r>
      <w:r>
        <w:t xml:space="preserve">я </w:t>
      </w:r>
      <w:r w:rsidRPr="005803EF">
        <w:t>должн</w:t>
      </w:r>
      <w:r>
        <w:t>ы</w:t>
      </w:r>
      <w:r w:rsidRPr="005803EF">
        <w:t xml:space="preserve"> быть новым</w:t>
      </w:r>
      <w:r>
        <w:t>и Изделиями</w:t>
      </w:r>
      <w:r w:rsidRPr="005803EF">
        <w:t>, Издели</w:t>
      </w:r>
      <w:r>
        <w:t>ями, которы</w:t>
      </w:r>
      <w:r w:rsidRPr="005803EF">
        <w:t>е не был</w:t>
      </w:r>
      <w:r>
        <w:t>и</w:t>
      </w:r>
      <w:r w:rsidRPr="005803EF">
        <w:t xml:space="preserve"> в употреблении, в ремонте, в том числе котор</w:t>
      </w:r>
      <w:r>
        <w:t>о</w:t>
      </w:r>
      <w:r w:rsidRPr="005803EF">
        <w:t>е не был</w:t>
      </w:r>
      <w:r>
        <w:t>и</w:t>
      </w:r>
      <w:r w:rsidRPr="005803EF">
        <w:t xml:space="preserve"> восстано</w:t>
      </w:r>
      <w:r>
        <w:t>влены</w:t>
      </w:r>
      <w:r w:rsidRPr="005803EF">
        <w:t>, у котор</w:t>
      </w:r>
      <w:r>
        <w:t>ых</w:t>
      </w:r>
      <w:r w:rsidRPr="005803EF">
        <w:t xml:space="preserve"> не была осуществлена замена составных частей, не были восстановлены потребительские свойства.</w:t>
      </w:r>
      <w:r>
        <w:t xml:space="preserve"> </w:t>
      </w:r>
      <w:r w:rsidRPr="005803EF">
        <w:t>Издели</w:t>
      </w:r>
      <w:r>
        <w:t>я</w:t>
      </w:r>
      <w:r w:rsidRPr="005803EF">
        <w:t xml:space="preserve"> должн</w:t>
      </w:r>
      <w:r>
        <w:t>ы</w:t>
      </w:r>
      <w:r w:rsidRPr="005803EF">
        <w:t xml:space="preserve"> быть свободным</w:t>
      </w:r>
      <w:r>
        <w:t>и</w:t>
      </w:r>
      <w:r w:rsidRPr="005803EF">
        <w:t xml:space="preserve"> от прав третьих лиц.</w:t>
      </w:r>
    </w:p>
    <w:p w:rsidR="00FC649A" w:rsidRDefault="00FC649A" w:rsidP="00FC649A">
      <w:pPr>
        <w:autoSpaceDE w:val="0"/>
        <w:jc w:val="both"/>
      </w:pPr>
      <w:r>
        <w:rPr>
          <w:bCs/>
          <w:lang w:eastAsia="en-US"/>
        </w:rPr>
        <w:t xml:space="preserve">3.4. </w:t>
      </w:r>
      <w:r w:rsidRPr="00F32DB0">
        <w:t xml:space="preserve">Упаковка </w:t>
      </w:r>
      <w:r>
        <w:t>Изделия</w:t>
      </w:r>
      <w:r w:rsidRPr="00F32DB0">
        <w:t xml:space="preserve">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r>
        <w:t>(п.4.11.5 ГОСТ Р 51632-2021</w:t>
      </w:r>
      <w:r w:rsidRPr="00F32DB0">
        <w:t xml:space="preserve"> «Технические средства реабилитации людей с ограничениями жизнедеятельности. Общие технические требования и методы испытаний»).</w:t>
      </w:r>
    </w:p>
    <w:p w:rsidR="00FC649A" w:rsidRDefault="00FC649A" w:rsidP="00FC649A">
      <w:pPr>
        <w:jc w:val="both"/>
      </w:pPr>
      <w:r>
        <w:t xml:space="preserve">Маркировка, упаковка и хранение протеза должно осуществляться с соблюдением требований ГОСТ Р ИСО 22523-2007 «Протезы конечностей и ортезы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FC649A" w:rsidRPr="002C6274" w:rsidRDefault="00FC649A" w:rsidP="00FC649A">
      <w:pPr>
        <w:jc w:val="both"/>
      </w:pPr>
      <w:r>
        <w:rPr>
          <w:bCs/>
          <w:lang w:eastAsia="en-US"/>
        </w:rPr>
        <w:t xml:space="preserve">3.5. </w:t>
      </w:r>
      <w:r w:rsidRPr="00D01A52">
        <w:rPr>
          <w:lang w:eastAsia="en-US"/>
        </w:rPr>
        <w:t xml:space="preserve">Гарантийный срок </w:t>
      </w:r>
      <w:r w:rsidRPr="00D01A52">
        <w:t>на Издели</w:t>
      </w:r>
      <w:r>
        <w:t>е - на функциональные части и на культеприемную гильзу индивидуального изготовления</w:t>
      </w:r>
      <w:r w:rsidRPr="00D01A52">
        <w:t xml:space="preserve"> составляет</w:t>
      </w:r>
      <w:r w:rsidRPr="00160C80">
        <w:t xml:space="preserve"> </w:t>
      </w:r>
      <w:r w:rsidRPr="00D01A52">
        <w:t xml:space="preserve">не менее </w:t>
      </w:r>
      <w:r>
        <w:t>12 месяцев</w:t>
      </w:r>
      <w:r w:rsidRPr="00D01A52">
        <w:t xml:space="preserve"> </w:t>
      </w:r>
      <w:r>
        <w:t xml:space="preserve">с момента </w:t>
      </w:r>
      <w:r w:rsidRPr="00D01A52">
        <w:t>подписания Получателем акта приема-передачи Изделия</w:t>
      </w:r>
      <w:r w:rsidRPr="00D01A52">
        <w:rPr>
          <w:bCs/>
          <w:spacing w:val="2"/>
          <w:kern w:val="36"/>
        </w:rPr>
        <w:t>.</w:t>
      </w:r>
      <w:r w:rsidRPr="007135BD">
        <w:t xml:space="preserve"> </w:t>
      </w:r>
      <w:r w:rsidRPr="00A9001B">
        <w:t xml:space="preserve">Установленный настоящим пунктом </w:t>
      </w:r>
      <w:r>
        <w:t>технического задания</w:t>
      </w:r>
      <w:r w:rsidRPr="00A9001B">
        <w:t xml:space="preserve"> срок не распространяется на случаи нарушения Получателем условий и требований к эксплуатации </w:t>
      </w:r>
      <w:r>
        <w:t>Изделия</w:t>
      </w:r>
      <w:r w:rsidRPr="00A9001B">
        <w:t>.</w:t>
      </w:r>
    </w:p>
    <w:p w:rsidR="00FC649A" w:rsidRDefault="00FC649A" w:rsidP="00FC649A">
      <w:pPr>
        <w:ind w:right="-24"/>
        <w:jc w:val="both"/>
        <w:rPr>
          <w:bCs/>
          <w:lang w:eastAsia="en-US"/>
        </w:rPr>
      </w:pPr>
      <w:r>
        <w:rPr>
          <w:bCs/>
          <w:lang w:eastAsia="en-US"/>
        </w:rPr>
        <w:t xml:space="preserve">4. Исполнитель обязан: </w:t>
      </w:r>
    </w:p>
    <w:p w:rsidR="00FC649A" w:rsidRPr="00CB13FF" w:rsidRDefault="00FC649A" w:rsidP="00FC649A">
      <w:pPr>
        <w:ind w:right="-24"/>
        <w:jc w:val="both"/>
        <w:rPr>
          <w:bCs/>
          <w:lang w:eastAsia="en-US"/>
        </w:rPr>
      </w:pPr>
      <w:r>
        <w:rPr>
          <w:bCs/>
          <w:lang w:eastAsia="en-US"/>
        </w:rPr>
        <w:t xml:space="preserve">4.1. Изготавливать Изделие для Получателя, имеющее </w:t>
      </w:r>
      <w:r w:rsidRPr="005803EF">
        <w:t>действующие декларации о соответствии, оформленные в соответствии с законодат</w:t>
      </w:r>
      <w:r>
        <w:t xml:space="preserve">ельством Российской Федерации (при наличии). </w:t>
      </w:r>
      <w:r w:rsidRPr="005803EF">
        <w:t>В случае, если ранее Издели</w:t>
      </w:r>
      <w:r>
        <w:t>е</w:t>
      </w:r>
      <w:r w:rsidRPr="005803EF">
        <w:t xml:space="preserve"> подлежал</w:t>
      </w:r>
      <w:r>
        <w:t>о</w:t>
      </w:r>
      <w:r w:rsidRPr="005803EF">
        <w:t xml:space="preserve"> обязательной сертификации, допускается изготовление Издели</w:t>
      </w:r>
      <w:r>
        <w:t>я</w:t>
      </w:r>
      <w:r w:rsidRPr="005803EF">
        <w:t>, имеющ</w:t>
      </w:r>
      <w:r>
        <w:t>его</w:t>
      </w:r>
      <w:r w:rsidRPr="005803EF">
        <w:t xml:space="preserve"> действующий сертификат соответствия.</w:t>
      </w:r>
    </w:p>
    <w:p w:rsidR="00FC649A" w:rsidRPr="005803EF" w:rsidRDefault="00FC649A" w:rsidP="00FC649A">
      <w:pPr>
        <w:ind w:right="-24"/>
        <w:jc w:val="both"/>
      </w:pPr>
      <w:r w:rsidRPr="005803EF">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rsidR="00FC649A" w:rsidRPr="005803EF" w:rsidRDefault="00FC649A" w:rsidP="00FC649A">
      <w:pPr>
        <w:widowControl w:val="0"/>
        <w:shd w:val="clear" w:color="auto" w:fill="FFFFFF"/>
        <w:tabs>
          <w:tab w:val="left" w:pos="0"/>
        </w:tabs>
        <w:autoSpaceDE w:val="0"/>
        <w:jc w:val="both"/>
        <w:rPr>
          <w:lang w:eastAsia="ar-SA"/>
        </w:rPr>
      </w:pPr>
      <w:r>
        <w:rPr>
          <w:lang w:eastAsia="ar-SA"/>
        </w:rPr>
        <w:t>4.2.</w:t>
      </w:r>
      <w:r>
        <w:t xml:space="preserve"> </w:t>
      </w:r>
      <w:r w:rsidRPr="005803EF">
        <w:t>Осуществлять прием Получател</w:t>
      </w:r>
      <w:r>
        <w:t>ей</w:t>
      </w:r>
      <w:r w:rsidRPr="005803EF">
        <w:t xml:space="preserve"> или </w:t>
      </w:r>
      <w:r>
        <w:t>их</w:t>
      </w:r>
      <w:r w:rsidRPr="005803EF">
        <w:t xml:space="preserve"> представител</w:t>
      </w:r>
      <w:r>
        <w:t xml:space="preserve">ей при представлении </w:t>
      </w:r>
      <w:r w:rsidRPr="005803EF">
        <w:t xml:space="preserve">паспорта и направления (по форме, утвержденной приказом Министерства здравоохранения и социального развития Российской Федерации № 439н от 21.08.2008), </w:t>
      </w:r>
      <w:r>
        <w:t xml:space="preserve">выдаваемого </w:t>
      </w:r>
      <w:r w:rsidRPr="005803EF">
        <w:t>Заказчик</w:t>
      </w:r>
      <w:r>
        <w:t>ом</w:t>
      </w:r>
      <w:r w:rsidRPr="005803EF">
        <w:t>.</w:t>
      </w:r>
    </w:p>
    <w:p w:rsidR="00FC649A" w:rsidRPr="005803EF" w:rsidRDefault="00FC649A" w:rsidP="00FC649A">
      <w:pPr>
        <w:ind w:right="-24"/>
        <w:jc w:val="both"/>
      </w:pPr>
      <w:r w:rsidRPr="005803EF">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rsidR="00FC649A" w:rsidRDefault="00FC649A" w:rsidP="00FC649A">
      <w:pPr>
        <w:ind w:right="-24"/>
        <w:jc w:val="both"/>
      </w:pPr>
      <w:r w:rsidRPr="005803EF">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w:t>
      </w:r>
      <w:r w:rsidRPr="005803EF">
        <w:lastRenderedPageBreak/>
        <w:t>предусмотренным статьей 188 Гражданского кодекса Российской Федерации, на момент передачи Изделия представителю Получателя.</w:t>
      </w:r>
    </w:p>
    <w:p w:rsidR="00FC649A" w:rsidRPr="00F32DB0" w:rsidRDefault="00FC649A" w:rsidP="00FC649A">
      <w:pPr>
        <w:jc w:val="both"/>
        <w:rPr>
          <w:rFonts w:ascii="Times New Roman CYR" w:hAnsi="Times New Roman CYR" w:cs="Times New Roman CYR"/>
        </w:rPr>
      </w:pPr>
      <w:r>
        <w:t xml:space="preserve">4.3. </w:t>
      </w:r>
      <w:r w:rsidRPr="00F32DB0">
        <w:rPr>
          <w:rFonts w:ascii="Times New Roman CYR" w:hAnsi="Times New Roman CYR" w:cs="Times New Roman CYR"/>
        </w:rPr>
        <w:t>При работе с Получател</w:t>
      </w:r>
      <w:r>
        <w:rPr>
          <w:rFonts w:ascii="Times New Roman CYR" w:hAnsi="Times New Roman CYR" w:cs="Times New Roman CYR"/>
        </w:rPr>
        <w:t>ями</w:t>
      </w:r>
      <w:r w:rsidRPr="00F32DB0">
        <w:rPr>
          <w:rFonts w:ascii="Times New Roman CYR" w:hAnsi="Times New Roman CYR" w:cs="Times New Roman CYR"/>
        </w:rPr>
        <w:t xml:space="preserve">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FC649A" w:rsidRDefault="00FC649A" w:rsidP="00FC649A">
      <w:pPr>
        <w:ind w:right="-24"/>
        <w:jc w:val="both"/>
      </w:pPr>
      <w:r>
        <w:t>4.4.</w:t>
      </w:r>
      <w:r w:rsidRPr="007135BD">
        <w:rPr>
          <w:rFonts w:ascii="Times New Roman CYR" w:hAnsi="Times New Roman CYR" w:cs="Times New Roman CYR"/>
        </w:rPr>
        <w:t xml:space="preserve"> </w:t>
      </w:r>
      <w:r w:rsidRPr="00F32DB0">
        <w:rPr>
          <w:rFonts w:ascii="Times New Roman CYR" w:hAnsi="Times New Roman CYR" w:cs="Times New Roman CYR"/>
        </w:rPr>
        <w:t xml:space="preserve">Обеспечить возможность </w:t>
      </w:r>
      <w:r>
        <w:rPr>
          <w:rFonts w:ascii="Times New Roman CYR" w:hAnsi="Times New Roman CYR" w:cs="Times New Roman CYR"/>
        </w:rPr>
        <w:t>изготовления Изделия</w:t>
      </w:r>
      <w:r w:rsidRPr="00F32DB0">
        <w:rPr>
          <w:rFonts w:ascii="Times New Roman CYR" w:hAnsi="Times New Roman CYR" w:cs="Times New Roman CYR"/>
        </w:rPr>
        <w:t xml:space="preserve"> со дня, следующего за днем </w:t>
      </w:r>
      <w:r>
        <w:rPr>
          <w:rFonts w:ascii="Times New Roman CYR" w:hAnsi="Times New Roman CYR" w:cs="Times New Roman CYR"/>
        </w:rPr>
        <w:t>передачи Исполнителю реестра Получателей.</w:t>
      </w:r>
    </w:p>
    <w:p w:rsidR="00FC649A" w:rsidRPr="00160C80" w:rsidRDefault="00FC649A" w:rsidP="00FC649A">
      <w:pPr>
        <w:ind w:right="-24"/>
        <w:jc w:val="both"/>
        <w:rPr>
          <w:color w:val="000000"/>
        </w:rPr>
      </w:pPr>
      <w:r>
        <w:t>4.5.</w:t>
      </w:r>
      <w:r w:rsidRPr="00160C80">
        <w:rPr>
          <w:color w:val="000000"/>
        </w:rPr>
        <w:t xml:space="preserve"> Осуществлять в течение гарантийного срока за счет собственных средств гарантийный ремонт Издели</w:t>
      </w:r>
      <w:r>
        <w:rPr>
          <w:color w:val="000000"/>
        </w:rPr>
        <w:t>я</w:t>
      </w:r>
      <w:r w:rsidRPr="00160C80">
        <w:rPr>
          <w:color w:val="000000"/>
        </w:rPr>
        <w:t xml:space="preserve"> и </w:t>
      </w:r>
      <w:r>
        <w:rPr>
          <w:color w:val="000000"/>
        </w:rPr>
        <w:t>(или) гарантийную замену Изделия</w:t>
      </w:r>
      <w:r w:rsidRPr="00160C80">
        <w:rPr>
          <w:color w:val="000000"/>
        </w:rPr>
        <w:t>, преждевременно вышедших из строя не по вине Получател</w:t>
      </w:r>
      <w:r>
        <w:rPr>
          <w:color w:val="000000"/>
        </w:rPr>
        <w:t>я</w:t>
      </w:r>
      <w:r w:rsidRPr="00160C80">
        <w:rPr>
          <w:color w:val="000000"/>
        </w:rPr>
        <w:t>, и (или) имеющих скрытые недостатки или дефекты (брак).</w:t>
      </w:r>
    </w:p>
    <w:p w:rsidR="00FC649A" w:rsidRPr="004D1BAF" w:rsidRDefault="00FC649A" w:rsidP="00FC649A">
      <w:pPr>
        <w:jc w:val="both"/>
        <w:rPr>
          <w:rFonts w:ascii="Times New Roman CYR" w:hAnsi="Times New Roman CYR" w:cs="Times New Roman CYR"/>
        </w:rPr>
      </w:pPr>
      <w:r w:rsidRPr="004D1BAF">
        <w:rPr>
          <w:rFonts w:ascii="Times New Roman CYR" w:hAnsi="Times New Roman CYR" w:cs="Times New Roman CYR"/>
        </w:rPr>
        <w:t xml:space="preserve">В случае обнаружения Получателем в течение гарантийного срока </w:t>
      </w:r>
      <w:r>
        <w:rPr>
          <w:rFonts w:ascii="Times New Roman CYR" w:hAnsi="Times New Roman CYR" w:cs="Times New Roman CYR"/>
        </w:rPr>
        <w:t>Изделия</w:t>
      </w:r>
      <w:r w:rsidRPr="004D1BAF">
        <w:rPr>
          <w:rFonts w:ascii="Times New Roman CYR" w:hAnsi="Times New Roman CYR" w:cs="Times New Roman CYR"/>
        </w:rPr>
        <w:t xml:space="preserve"> при его должной эксплу</w:t>
      </w:r>
      <w:r>
        <w:rPr>
          <w:rFonts w:ascii="Times New Roman CYR" w:hAnsi="Times New Roman CYR" w:cs="Times New Roman CYR"/>
        </w:rPr>
        <w:t>атации несоответствия качества Изделия</w:t>
      </w:r>
      <w:r w:rsidRPr="004D1BAF">
        <w:rPr>
          <w:rFonts w:ascii="Times New Roman CYR" w:hAnsi="Times New Roman CYR" w:cs="Times New Roman CYR"/>
        </w:rPr>
        <w:t xml:space="preserve"> (выявления недостатков и дефектов, связанных с разработкой, материалами или качеством изготовления, в том числе скрытых недостатков и дефектов),</w:t>
      </w:r>
      <w:r w:rsidRPr="001D614F">
        <w:t xml:space="preserve"> </w:t>
      </w:r>
      <w:r>
        <w:t xml:space="preserve">Исполнителем </w:t>
      </w:r>
      <w:r w:rsidRPr="004D1BAF">
        <w:rPr>
          <w:rFonts w:ascii="Times New Roman CYR" w:hAnsi="Times New Roman CYR" w:cs="Times New Roman CYR"/>
        </w:rPr>
        <w:t xml:space="preserve">должен быть обеспечен гарантийный ремонт (если </w:t>
      </w:r>
      <w:r>
        <w:rPr>
          <w:rFonts w:ascii="Times New Roman CYR" w:hAnsi="Times New Roman CYR" w:cs="Times New Roman CYR"/>
        </w:rPr>
        <w:t>Изделие</w:t>
      </w:r>
      <w:r w:rsidRPr="004D1BAF">
        <w:rPr>
          <w:rFonts w:ascii="Times New Roman CYR" w:hAnsi="Times New Roman CYR" w:cs="Times New Roman CYR"/>
        </w:rPr>
        <w:t xml:space="preserve"> подлежит гарантийному ремонту) либо осуществлена замена </w:t>
      </w:r>
      <w:r>
        <w:rPr>
          <w:rFonts w:ascii="Times New Roman CYR" w:hAnsi="Times New Roman CYR" w:cs="Times New Roman CYR"/>
        </w:rPr>
        <w:t xml:space="preserve">Изделия на аналогичное Изделие </w:t>
      </w:r>
      <w:r w:rsidRPr="004D1BAF">
        <w:rPr>
          <w:rFonts w:ascii="Times New Roman CYR" w:hAnsi="Times New Roman CYR" w:cs="Times New Roman CYR"/>
        </w:rPr>
        <w:t>надлежащего качества.</w:t>
      </w:r>
    </w:p>
    <w:p w:rsidR="00FC649A" w:rsidRPr="004D1BAF" w:rsidRDefault="00FC649A" w:rsidP="00FC649A">
      <w:pPr>
        <w:jc w:val="both"/>
        <w:rPr>
          <w:rFonts w:ascii="Times New Roman CYR" w:hAnsi="Times New Roman CYR" w:cs="Times New Roman CYR"/>
        </w:rPr>
      </w:pPr>
      <w:r w:rsidRPr="004D1BAF">
        <w:rPr>
          <w:rFonts w:ascii="Times New Roman CYR" w:hAnsi="Times New Roman CYR" w:cs="Times New Roman CYR"/>
        </w:rPr>
        <w:t xml:space="preserve">Срок выполнения гарантийного ремонта </w:t>
      </w:r>
      <w:r>
        <w:rPr>
          <w:rFonts w:ascii="Times New Roman CYR" w:hAnsi="Times New Roman CYR" w:cs="Times New Roman CYR"/>
        </w:rPr>
        <w:t>Изделия</w:t>
      </w:r>
      <w:r w:rsidRPr="004D1BAF">
        <w:rPr>
          <w:rFonts w:ascii="Times New Roman CYR" w:hAnsi="Times New Roman CYR" w:cs="Times New Roman CYR"/>
        </w:rPr>
        <w:t xml:space="preserve"> не должен превышать 20 рабочих дней со дня обращения Получателя (Заказчика).</w:t>
      </w:r>
    </w:p>
    <w:p w:rsidR="00FC649A" w:rsidRPr="004D1BAF" w:rsidRDefault="00FC649A" w:rsidP="00FC649A">
      <w:pPr>
        <w:jc w:val="both"/>
        <w:rPr>
          <w:rFonts w:ascii="Times New Roman CYR" w:hAnsi="Times New Roman CYR" w:cs="Times New Roman CYR"/>
        </w:rPr>
      </w:pPr>
      <w:r w:rsidRPr="004D1BAF">
        <w:rPr>
          <w:rFonts w:ascii="Times New Roman CYR" w:hAnsi="Times New Roman CYR" w:cs="Times New Roman CYR"/>
        </w:rPr>
        <w:t xml:space="preserve">Срок осуществления замены </w:t>
      </w:r>
      <w:r>
        <w:rPr>
          <w:rFonts w:ascii="Times New Roman CYR" w:hAnsi="Times New Roman CYR" w:cs="Times New Roman CYR"/>
        </w:rPr>
        <w:t>Изделия</w:t>
      </w:r>
      <w:r w:rsidRPr="004D1BAF">
        <w:rPr>
          <w:rFonts w:ascii="Times New Roman CYR" w:hAnsi="Times New Roman CYR" w:cs="Times New Roman CYR"/>
        </w:rPr>
        <w:t xml:space="preserve"> не должен превышать 15 рабочих дней со дня обращения Получателя (Заказчика).</w:t>
      </w:r>
    </w:p>
    <w:p w:rsidR="00FC649A" w:rsidRPr="00160C80" w:rsidRDefault="00FC649A" w:rsidP="00FC649A">
      <w:pPr>
        <w:autoSpaceDE w:val="0"/>
        <w:ind w:right="-24"/>
        <w:jc w:val="both"/>
        <w:rPr>
          <w:color w:val="000000"/>
        </w:rPr>
      </w:pPr>
      <w:r w:rsidRPr="00160C80">
        <w:rPr>
          <w:color w:val="000000"/>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такого Изделия. </w:t>
      </w:r>
    </w:p>
    <w:p w:rsidR="00FC649A" w:rsidRPr="00160C80" w:rsidRDefault="00FC649A" w:rsidP="00FC649A">
      <w:pPr>
        <w:autoSpaceDE w:val="0"/>
        <w:ind w:right="-24"/>
        <w:jc w:val="both"/>
        <w:rPr>
          <w:color w:val="000000"/>
        </w:rPr>
      </w:pPr>
      <w:r w:rsidRPr="00160C80">
        <w:rPr>
          <w:color w:val="000000"/>
        </w:rPr>
        <w:t>В связи с тем, что передача Издели</w:t>
      </w:r>
      <w:r>
        <w:rPr>
          <w:color w:val="000000"/>
        </w:rPr>
        <w:t>я</w:t>
      </w:r>
      <w:r w:rsidRPr="00160C80">
        <w:rPr>
          <w:color w:val="000000"/>
        </w:rPr>
        <w:t xml:space="preserve">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w:t>
      </w:r>
    </w:p>
    <w:p w:rsidR="00FC649A" w:rsidRPr="00B123DD" w:rsidRDefault="00FC649A" w:rsidP="00FC649A">
      <w:pPr>
        <w:suppressAutoHyphens/>
        <w:ind w:right="-24"/>
        <w:jc w:val="both"/>
      </w:pPr>
      <w:r w:rsidRPr="00B123DD">
        <w:t>Прием Получателей по вопросам, касающимся выдачи и гарантийного ремонта Изделий, осуществляется Исполнителем по месту нахождения организованных Исполнителем пунктов приема</w:t>
      </w:r>
      <w:r>
        <w:t xml:space="preserve"> на территории Санкт-Петербурга</w:t>
      </w:r>
      <w:r w:rsidRPr="00B123DD">
        <w:t>.</w:t>
      </w:r>
    </w:p>
    <w:p w:rsidR="00FC649A" w:rsidRDefault="00FC649A" w:rsidP="00FC649A">
      <w:pPr>
        <w:jc w:val="both"/>
        <w:rPr>
          <w:rFonts w:ascii="Times New Roman CYR" w:hAnsi="Times New Roman CYR" w:cs="Times New Roman CYR"/>
        </w:rPr>
      </w:pPr>
      <w:r>
        <w:t>4.6.</w:t>
      </w:r>
      <w:r w:rsidRPr="006B5F48">
        <w:t xml:space="preserve"> </w:t>
      </w:r>
      <w:r w:rsidRPr="00F32DB0">
        <w:rPr>
          <w:rFonts w:ascii="Times New Roman CYR" w:hAnsi="Times New Roman CYR" w:cs="Times New Roman CYR"/>
        </w:rPr>
        <w:t>Давать справки Получател</w:t>
      </w:r>
      <w:r>
        <w:rPr>
          <w:rFonts w:ascii="Times New Roman CYR" w:hAnsi="Times New Roman CYR" w:cs="Times New Roman CYR"/>
        </w:rPr>
        <w:t>ю</w:t>
      </w:r>
      <w:r w:rsidRPr="00F32DB0">
        <w:rPr>
          <w:rFonts w:ascii="Times New Roman CYR" w:hAnsi="Times New Roman CYR" w:cs="Times New Roman CYR"/>
        </w:rPr>
        <w:t xml:space="preserve"> по вопросам, связанным с </w:t>
      </w:r>
      <w:r>
        <w:rPr>
          <w:rFonts w:ascii="Times New Roman CYR" w:hAnsi="Times New Roman CYR" w:cs="Times New Roman CYR"/>
        </w:rPr>
        <w:t>изготовлением</w:t>
      </w:r>
      <w:r w:rsidRPr="00F32DB0">
        <w:rPr>
          <w:rFonts w:ascii="Times New Roman CYR" w:hAnsi="Times New Roman CYR" w:cs="Times New Roman CYR"/>
        </w:rPr>
        <w:t xml:space="preserve"> </w:t>
      </w:r>
      <w:r>
        <w:rPr>
          <w:rFonts w:ascii="Times New Roman CYR" w:hAnsi="Times New Roman CYR" w:cs="Times New Roman CYR"/>
        </w:rPr>
        <w:t>Изделия</w:t>
      </w:r>
      <w:r w:rsidRPr="00F32DB0">
        <w:rPr>
          <w:rFonts w:ascii="Times New Roman CYR" w:hAnsi="Times New Roman CYR" w:cs="Times New Roman CYR"/>
        </w:rPr>
        <w:t>,</w:t>
      </w:r>
      <w:r>
        <w:rPr>
          <w:rFonts w:ascii="Times New Roman CYR" w:hAnsi="Times New Roman CYR" w:cs="Times New Roman CYR"/>
        </w:rPr>
        <w:t xml:space="preserve"> </w:t>
      </w:r>
      <w:r w:rsidRPr="00F32DB0">
        <w:t xml:space="preserve">а также осуществлять прием заявок на доставку </w:t>
      </w:r>
      <w:r>
        <w:t xml:space="preserve">Изделия </w:t>
      </w:r>
      <w:r w:rsidRPr="00F32DB0">
        <w:t>по месту нахождения Получателя</w:t>
      </w:r>
      <w:r w:rsidRPr="00F32DB0">
        <w:rPr>
          <w:rFonts w:ascii="Times New Roman CYR" w:hAnsi="Times New Roman CYR" w:cs="Times New Roman CYR"/>
        </w:rPr>
        <w:t xml:space="preserve"> в часы работы пункта (пунктов) приема Получателей. Для звонков Получател</w:t>
      </w:r>
      <w:r>
        <w:rPr>
          <w:rFonts w:ascii="Times New Roman CYR" w:hAnsi="Times New Roman CYR" w:cs="Times New Roman CYR"/>
        </w:rPr>
        <w:t>я</w:t>
      </w:r>
      <w:r w:rsidRPr="00F32DB0">
        <w:rPr>
          <w:rFonts w:ascii="Times New Roman CYR" w:hAnsi="Times New Roman CYR" w:cs="Times New Roman CYR"/>
        </w:rPr>
        <w:t xml:space="preserve"> должен быть выделен телефонный номер. </w:t>
      </w:r>
      <w:r>
        <w:rPr>
          <w:rFonts w:ascii="Times New Roman CYR" w:hAnsi="Times New Roman CYR" w:cs="Times New Roman CYR"/>
        </w:rPr>
        <w:t>Информацию о телефонном номере Исполнитель</w:t>
      </w:r>
      <w:r w:rsidRPr="00F32DB0">
        <w:rPr>
          <w:rFonts w:ascii="Times New Roman CYR" w:hAnsi="Times New Roman CYR" w:cs="Times New Roman CYR"/>
        </w:rPr>
        <w:t xml:space="preserve"> должен предоставить Заказчику </w:t>
      </w:r>
      <w:r>
        <w:rPr>
          <w:rFonts w:ascii="Times New Roman CYR" w:hAnsi="Times New Roman CYR" w:cs="Times New Roman CYR"/>
        </w:rPr>
        <w:t>не позднее 1 (одного) рабочего дня с даты заключения</w:t>
      </w:r>
      <w:r w:rsidRPr="00F32DB0">
        <w:rPr>
          <w:rFonts w:ascii="Times New Roman CYR" w:hAnsi="Times New Roman CYR" w:cs="Times New Roman CYR"/>
        </w:rPr>
        <w:t xml:space="preserve"> </w:t>
      </w:r>
      <w:r>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Pr>
          <w:rFonts w:ascii="Times New Roman CYR" w:hAnsi="Times New Roman CYR" w:cs="Times New Roman CYR"/>
        </w:rPr>
        <w:t>.</w:t>
      </w:r>
    </w:p>
    <w:p w:rsidR="00FC649A" w:rsidRPr="00F32DB0" w:rsidRDefault="00FC649A" w:rsidP="00FC649A">
      <w:pPr>
        <w:jc w:val="both"/>
      </w:pPr>
      <w:r w:rsidRPr="00F32DB0">
        <w:rPr>
          <w:rFonts w:ascii="Times New Roman CYR" w:hAnsi="Times New Roman CYR" w:cs="Times New Roman CYR"/>
        </w:rPr>
        <w:t>Звонки с городских номеров Санкт-Петербурга должны быть бесплатными для Получател</w:t>
      </w:r>
      <w:r>
        <w:rPr>
          <w:rFonts w:ascii="Times New Roman CYR" w:hAnsi="Times New Roman CYR" w:cs="Times New Roman CYR"/>
        </w:rPr>
        <w:t>я</w:t>
      </w:r>
      <w:r w:rsidRPr="00F32DB0">
        <w:rPr>
          <w:rFonts w:ascii="Times New Roman CYR" w:hAnsi="Times New Roman CYR" w:cs="Times New Roman CYR"/>
        </w:rPr>
        <w:t>, а именно: не допускается взимание дополнительной оплаты телефонных</w:t>
      </w:r>
      <w:r w:rsidRPr="00F32DB0">
        <w:t xml:space="preserve"> переговоров Получател</w:t>
      </w:r>
      <w:r>
        <w:t>я</w:t>
      </w:r>
      <w:r w:rsidRPr="00F32DB0">
        <w:t xml:space="preserve"> в виде предоставления для звонков Получател</w:t>
      </w:r>
      <w:r>
        <w:t>я</w:t>
      </w:r>
      <w:r w:rsidRPr="00F32DB0">
        <w:t xml:space="preserve">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w:t>
      </w:r>
      <w:r>
        <w:t>Исполнителем</w:t>
      </w:r>
      <w:r w:rsidRPr="00F32DB0">
        <w:t xml:space="preserve">. </w:t>
      </w:r>
    </w:p>
    <w:p w:rsidR="00FC649A" w:rsidRPr="00F32DB0" w:rsidRDefault="00FC649A" w:rsidP="00FC649A">
      <w:pPr>
        <w:jc w:val="both"/>
      </w:pPr>
      <w:r>
        <w:t>4.7.</w:t>
      </w:r>
      <w:r w:rsidRPr="006B5F48">
        <w:t xml:space="preserve"> </w:t>
      </w:r>
      <w:r w:rsidRPr="00F32DB0">
        <w:t>Вести аудиозаписи телефонных раз</w:t>
      </w:r>
      <w:r>
        <w:t>говоров с Получателя</w:t>
      </w:r>
      <w:r w:rsidRPr="00F32DB0">
        <w:t>м</w:t>
      </w:r>
      <w:r>
        <w:t>и</w:t>
      </w:r>
      <w:r w:rsidRPr="00F32DB0">
        <w:t xml:space="preserve"> по вопросам получения </w:t>
      </w:r>
      <w:r>
        <w:t>Изделий. По требованию Заказчика Исполнитель</w:t>
      </w:r>
      <w:r w:rsidRPr="00F32DB0">
        <w:t xml:space="preserve"> обязан предоставлять такие аудиозаписи. Вести журнал телефонных звонков из реестра Получателей </w:t>
      </w:r>
      <w:r>
        <w:t xml:space="preserve">Изделий </w:t>
      </w:r>
      <w:r w:rsidRPr="00F32DB0">
        <w:t xml:space="preserve">(передается Заказчиком по мере формирования) с пометкой о времени звонка, результате звонка и выборе </w:t>
      </w:r>
      <w:r>
        <w:t>Получателем</w:t>
      </w:r>
      <w:r w:rsidRPr="00F32DB0">
        <w:t xml:space="preserve"> способа, места и времени доставки </w:t>
      </w:r>
      <w:r>
        <w:t>Изделия</w:t>
      </w:r>
    </w:p>
    <w:p w:rsidR="00FC649A" w:rsidRPr="00F32DB0" w:rsidRDefault="00FC649A" w:rsidP="00FC649A">
      <w:pPr>
        <w:jc w:val="both"/>
      </w:pPr>
      <w:r w:rsidRPr="00F32DB0">
        <w:t xml:space="preserve">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w:t>
      </w:r>
      <w:r>
        <w:t>Изделия</w:t>
      </w:r>
      <w:r w:rsidRPr="00F32DB0">
        <w:t xml:space="preserve"> Получателю не позднее дня, следующего за днем доставки, согласованным с Получателем.</w:t>
      </w:r>
    </w:p>
    <w:p w:rsidR="00FC649A" w:rsidRDefault="00FC649A" w:rsidP="00FC649A">
      <w:pPr>
        <w:ind w:right="-24"/>
        <w:jc w:val="both"/>
      </w:pPr>
      <w:r>
        <w:lastRenderedPageBreak/>
        <w:t>4.8.</w:t>
      </w:r>
      <w:r w:rsidRPr="006C5F6B">
        <w:t xml:space="preserve"> </w:t>
      </w:r>
      <w:r w:rsidRPr="00383712">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383712">
          <w:rPr>
            <w:rStyle w:val="a3"/>
          </w:rPr>
          <w:t>osp@ro78.fss.ru</w:t>
        </w:r>
      </w:hyperlink>
      <w:r w:rsidRPr="00383712">
        <w:t xml:space="preserve">, </w:t>
      </w:r>
      <w:hyperlink r:id="rId6" w:history="1">
        <w:r w:rsidRPr="00383712">
          <w:rPr>
            <w:rStyle w:val="a3"/>
          </w:rPr>
          <w:t>tsrfil31@ro78.fss.ru</w:t>
        </w:r>
      </w:hyperlink>
      <w:r w:rsidRPr="00383712">
        <w:t>.</w:t>
      </w:r>
    </w:p>
    <w:p w:rsidR="00FC649A" w:rsidRPr="005803EF" w:rsidRDefault="00FC649A" w:rsidP="00FC649A">
      <w:pPr>
        <w:autoSpaceDE w:val="0"/>
        <w:autoSpaceDN w:val="0"/>
        <w:adjustRightInd w:val="0"/>
        <w:spacing w:line="240" w:lineRule="atLeast"/>
        <w:jc w:val="both"/>
      </w:pPr>
      <w:r>
        <w:t>4.9.</w:t>
      </w:r>
      <w:r w:rsidRPr="006C5F6B">
        <w:t xml:space="preserve"> </w:t>
      </w:r>
      <w:r w:rsidRPr="005803EF">
        <w:t xml:space="preserve">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FC649A" w:rsidRPr="005803EF" w:rsidRDefault="00FC649A" w:rsidP="00FC649A">
      <w:pPr>
        <w:numPr>
          <w:ilvl w:val="0"/>
          <w:numId w:val="1"/>
        </w:numPr>
        <w:autoSpaceDE w:val="0"/>
        <w:autoSpaceDN w:val="0"/>
        <w:adjustRightInd w:val="0"/>
        <w:contextualSpacing/>
        <w:jc w:val="both"/>
        <w:rPr>
          <w:lang w:eastAsia="en-US"/>
        </w:rPr>
      </w:pPr>
      <w:r w:rsidRPr="005803EF">
        <w:rPr>
          <w:lang w:eastAsia="en-US"/>
        </w:rPr>
        <w:t>наименование, фирменное наименование (при наличии), место нахождения, почтовый адрес (для юридического лица);</w:t>
      </w:r>
    </w:p>
    <w:p w:rsidR="00FC649A" w:rsidRPr="005803EF" w:rsidRDefault="00FC649A" w:rsidP="00FC649A">
      <w:pPr>
        <w:numPr>
          <w:ilvl w:val="0"/>
          <w:numId w:val="1"/>
        </w:numPr>
        <w:autoSpaceDE w:val="0"/>
        <w:autoSpaceDN w:val="0"/>
        <w:adjustRightInd w:val="0"/>
        <w:contextualSpacing/>
        <w:jc w:val="both"/>
        <w:rPr>
          <w:lang w:eastAsia="en-US"/>
        </w:rPr>
      </w:pPr>
      <w:r w:rsidRPr="005803EF">
        <w:rPr>
          <w:lang w:eastAsia="en-US"/>
        </w:rPr>
        <w:t>фамилия, имя, отчество (при наличии), паспортные данные, место жительства (для физического лица);</w:t>
      </w:r>
    </w:p>
    <w:p w:rsidR="00FC649A" w:rsidRPr="005803EF" w:rsidRDefault="00FC649A" w:rsidP="00FC649A">
      <w:pPr>
        <w:numPr>
          <w:ilvl w:val="0"/>
          <w:numId w:val="1"/>
        </w:numPr>
        <w:autoSpaceDE w:val="0"/>
        <w:autoSpaceDN w:val="0"/>
        <w:adjustRightInd w:val="0"/>
        <w:contextualSpacing/>
        <w:jc w:val="both"/>
        <w:rPr>
          <w:lang w:eastAsia="en-US"/>
        </w:rPr>
      </w:pPr>
      <w:r w:rsidRPr="005803EF">
        <w:rPr>
          <w:lang w:eastAsia="en-US"/>
        </w:rPr>
        <w:t>номер контактного телефона;</w:t>
      </w:r>
    </w:p>
    <w:p w:rsidR="00FC649A" w:rsidRPr="005803EF" w:rsidRDefault="00FC649A" w:rsidP="00FC649A">
      <w:pPr>
        <w:numPr>
          <w:ilvl w:val="0"/>
          <w:numId w:val="1"/>
        </w:numPr>
        <w:autoSpaceDE w:val="0"/>
        <w:autoSpaceDN w:val="0"/>
        <w:adjustRightInd w:val="0"/>
        <w:contextualSpacing/>
        <w:jc w:val="both"/>
        <w:rPr>
          <w:lang w:eastAsia="en-US"/>
        </w:rPr>
      </w:pPr>
      <w:r w:rsidRPr="005803EF">
        <w:rPr>
          <w:lang w:eastAsia="en-US"/>
        </w:rPr>
        <w:t>адрес электронной почты;</w:t>
      </w:r>
    </w:p>
    <w:p w:rsidR="00FC649A" w:rsidRPr="005803EF" w:rsidRDefault="00FC649A" w:rsidP="00FC649A">
      <w:pPr>
        <w:numPr>
          <w:ilvl w:val="0"/>
          <w:numId w:val="1"/>
        </w:numPr>
        <w:autoSpaceDE w:val="0"/>
        <w:autoSpaceDN w:val="0"/>
        <w:adjustRightInd w:val="0"/>
        <w:contextualSpacing/>
        <w:jc w:val="both"/>
        <w:rPr>
          <w:lang w:eastAsia="en-US"/>
        </w:rPr>
      </w:pPr>
      <w:r w:rsidRPr="005803EF">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C649A" w:rsidRPr="005803EF" w:rsidRDefault="00FC649A" w:rsidP="00FC649A">
      <w:pPr>
        <w:numPr>
          <w:ilvl w:val="0"/>
          <w:numId w:val="1"/>
        </w:numPr>
        <w:autoSpaceDE w:val="0"/>
        <w:autoSpaceDN w:val="0"/>
        <w:adjustRightInd w:val="0"/>
        <w:contextualSpacing/>
        <w:jc w:val="both"/>
        <w:rPr>
          <w:lang w:eastAsia="en-US"/>
        </w:rPr>
      </w:pPr>
      <w:r w:rsidRPr="005803EF">
        <w:rPr>
          <w:lang w:eastAsia="en-US"/>
        </w:rPr>
        <w:t>перечень операций, выполняемых соисполнителем в рамках государственного контракта;</w:t>
      </w:r>
    </w:p>
    <w:p w:rsidR="00FC649A" w:rsidRPr="005803EF" w:rsidRDefault="00FC649A" w:rsidP="00FC649A">
      <w:pPr>
        <w:numPr>
          <w:ilvl w:val="0"/>
          <w:numId w:val="1"/>
        </w:numPr>
        <w:autoSpaceDE w:val="0"/>
        <w:autoSpaceDN w:val="0"/>
        <w:adjustRightInd w:val="0"/>
        <w:contextualSpacing/>
        <w:jc w:val="both"/>
        <w:rPr>
          <w:rFonts w:ascii="Calibri" w:hAnsi="Calibri"/>
          <w:lang w:eastAsia="en-US"/>
        </w:rPr>
      </w:pPr>
      <w:r w:rsidRPr="005803EF">
        <w:rPr>
          <w:lang w:eastAsia="en-US"/>
        </w:rPr>
        <w:t>срок соисполнительства.</w:t>
      </w:r>
    </w:p>
    <w:p w:rsidR="00FC649A" w:rsidRPr="005803EF" w:rsidRDefault="00FC649A" w:rsidP="00FC649A">
      <w:pPr>
        <w:autoSpaceDE w:val="0"/>
        <w:autoSpaceDN w:val="0"/>
        <w:adjustRightInd w:val="0"/>
        <w:spacing w:line="240" w:lineRule="atLeast"/>
        <w:jc w:val="both"/>
      </w:pPr>
      <w:r w:rsidRPr="005803EF">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FC649A" w:rsidRPr="005803EF" w:rsidRDefault="00FC649A" w:rsidP="00FC649A">
      <w:pPr>
        <w:autoSpaceDE w:val="0"/>
        <w:autoSpaceDN w:val="0"/>
        <w:adjustRightInd w:val="0"/>
        <w:spacing w:line="240" w:lineRule="atLeast"/>
        <w:jc w:val="both"/>
      </w:pPr>
      <w:r w:rsidRPr="005803EF">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FC649A" w:rsidRDefault="00FC649A" w:rsidP="00FC649A">
      <w:pPr>
        <w:autoSpaceDE w:val="0"/>
        <w:autoSpaceDN w:val="0"/>
        <w:adjustRightInd w:val="0"/>
        <w:spacing w:line="240" w:lineRule="atLeast"/>
        <w:jc w:val="both"/>
      </w:pPr>
      <w:r w:rsidRPr="005803EF">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5803EF">
          <w:rPr>
            <w:color w:val="000080"/>
            <w:u w:val="single"/>
            <w:lang w:val="en-US"/>
          </w:rPr>
          <w:t>osp</w:t>
        </w:r>
        <w:r w:rsidRPr="005803EF">
          <w:rPr>
            <w:color w:val="000080"/>
            <w:u w:val="single"/>
          </w:rPr>
          <w:t>@</w:t>
        </w:r>
        <w:r w:rsidRPr="005803EF">
          <w:rPr>
            <w:color w:val="000080"/>
            <w:u w:val="single"/>
            <w:lang w:val="en-US"/>
          </w:rPr>
          <w:t>ro</w:t>
        </w:r>
        <w:r w:rsidRPr="005803EF">
          <w:rPr>
            <w:color w:val="000080"/>
            <w:u w:val="single"/>
          </w:rPr>
          <w:t>78.</w:t>
        </w:r>
        <w:r w:rsidRPr="005803EF">
          <w:rPr>
            <w:color w:val="000080"/>
            <w:u w:val="single"/>
            <w:lang w:val="en-US"/>
          </w:rPr>
          <w:t>fss</w:t>
        </w:r>
        <w:r w:rsidRPr="005803EF">
          <w:rPr>
            <w:color w:val="000080"/>
            <w:u w:val="single"/>
          </w:rPr>
          <w:t>.</w:t>
        </w:r>
        <w:r w:rsidRPr="005803EF">
          <w:rPr>
            <w:color w:val="000080"/>
            <w:u w:val="single"/>
            <w:lang w:val="en-US"/>
          </w:rPr>
          <w:t>ru</w:t>
        </w:r>
      </w:hyperlink>
      <w:r w:rsidRPr="005803EF">
        <w:t xml:space="preserve">. </w:t>
      </w:r>
    </w:p>
    <w:p w:rsidR="00FC649A" w:rsidRDefault="00FC649A" w:rsidP="00FC649A">
      <w:pPr>
        <w:ind w:right="-24"/>
        <w:jc w:val="both"/>
      </w:pPr>
      <w:r>
        <w:t>5. Способ выдачи Изделий:</w:t>
      </w:r>
    </w:p>
    <w:p w:rsidR="00FC649A" w:rsidRPr="00160C80" w:rsidRDefault="00FC649A" w:rsidP="00FC649A">
      <w:pPr>
        <w:ind w:right="-24"/>
        <w:jc w:val="both"/>
        <w:rPr>
          <w:color w:val="000000"/>
        </w:rPr>
      </w:pPr>
      <w:r>
        <w:t xml:space="preserve">5.1. </w:t>
      </w:r>
      <w:r w:rsidRPr="00160C80">
        <w:rPr>
          <w:color w:val="000000"/>
        </w:rPr>
        <w:t>Исполнитель передает Получателю Изделие по месту жительства (месту пребывания, фактического проживания) Получателя</w:t>
      </w:r>
      <w:r>
        <w:rPr>
          <w:color w:val="000000"/>
        </w:rPr>
        <w:t>,</w:t>
      </w:r>
      <w:r w:rsidRPr="00160C80">
        <w:rPr>
          <w:color w:val="000000"/>
        </w:rPr>
        <w:t xml:space="preserve"> в том числе службой доставки (почтовым отправлением) с документом/уведомлением о вручении, подтверждающим факт доставки Изделия.</w:t>
      </w:r>
    </w:p>
    <w:p w:rsidR="00FC649A" w:rsidRPr="00160C80" w:rsidRDefault="00FC649A" w:rsidP="00FC649A">
      <w:pPr>
        <w:jc w:val="both"/>
        <w:rPr>
          <w:color w:val="000000"/>
        </w:rPr>
      </w:pPr>
      <w:r>
        <w:t xml:space="preserve">5.2. </w:t>
      </w:r>
      <w:r w:rsidRPr="00160C80">
        <w:rPr>
          <w:color w:val="000000"/>
        </w:rPr>
        <w:t>Исполнитель вправе орга</w:t>
      </w:r>
      <w:r>
        <w:rPr>
          <w:color w:val="000000"/>
        </w:rPr>
        <w:t>низовать пункт приема Получателей</w:t>
      </w:r>
      <w:r w:rsidRPr="00160C80">
        <w:rPr>
          <w:color w:val="000000"/>
        </w:rPr>
        <w:t xml:space="preserve"> в срок не позднее 1 (одного) рабочего дня с даты заключения государственного контракта, </w:t>
      </w:r>
      <w:r>
        <w:rPr>
          <w:color w:val="000000"/>
        </w:rPr>
        <w:t>пункт</w:t>
      </w:r>
      <w:r w:rsidRPr="00160C80">
        <w:rPr>
          <w:color w:val="000000"/>
        </w:rPr>
        <w:t xml:space="preserve"> должен дей</w:t>
      </w:r>
      <w:r>
        <w:rPr>
          <w:color w:val="000000"/>
        </w:rPr>
        <w:t>ствовать до конца выдачи Изделий</w:t>
      </w:r>
      <w:r w:rsidRPr="00160C80">
        <w:rPr>
          <w:color w:val="000000"/>
        </w:rPr>
        <w:t xml:space="preserve">, согласно условиям </w:t>
      </w:r>
      <w:r>
        <w:rPr>
          <w:color w:val="000000"/>
        </w:rPr>
        <w:t>т</w:t>
      </w:r>
      <w:r w:rsidRPr="00160C80">
        <w:rPr>
          <w:color w:val="000000"/>
        </w:rPr>
        <w:t>ехнического задания. В случае организации нескольких пунктов приема Получателей они должны быть организованы в различных районах Санкт-Петербурга.</w:t>
      </w:r>
    </w:p>
    <w:p w:rsidR="00FC649A" w:rsidRPr="00160C80" w:rsidRDefault="00FC649A" w:rsidP="00FC649A">
      <w:pPr>
        <w:jc w:val="both"/>
        <w:rPr>
          <w:color w:val="000000"/>
        </w:rPr>
      </w:pPr>
      <w:r w:rsidRPr="00160C80">
        <w:rPr>
          <w:color w:val="000000"/>
        </w:rPr>
        <w:t>В случае выбора Получателя обеспечения через пункт приема Получателей Исполнитель обязан взять письменное согласие Получателя на получение Изделия через пункт приема Получателей.</w:t>
      </w:r>
    </w:p>
    <w:p w:rsidR="00FC649A" w:rsidRDefault="00FC649A" w:rsidP="00FC649A">
      <w:pPr>
        <w:jc w:val="both"/>
      </w:pPr>
      <w:r w:rsidRPr="00160C80">
        <w:rPr>
          <w:color w:val="000000"/>
        </w:rPr>
        <w:t xml:space="preserve">Не позднее 1 (одного) </w:t>
      </w:r>
      <w:r>
        <w:rPr>
          <w:color w:val="000000"/>
        </w:rPr>
        <w:t xml:space="preserve">рабочего </w:t>
      </w:r>
      <w:r w:rsidRPr="00160C80">
        <w:rPr>
          <w:color w:val="000000"/>
        </w:rPr>
        <w:t xml:space="preserve">дня с даты заключения </w:t>
      </w:r>
      <w:r>
        <w:rPr>
          <w:rFonts w:ascii="Times New Roman CYR" w:hAnsi="Times New Roman CYR" w:cs="Times New Roman CYR"/>
        </w:rPr>
        <w:t>государственного</w:t>
      </w:r>
      <w:r w:rsidRPr="00160C80">
        <w:rPr>
          <w:color w:val="000000"/>
        </w:rPr>
        <w:t xml:space="preserve"> контракта Исполнитель должен предоставить Заказчику информацию об адресе пу</w:t>
      </w:r>
      <w:r>
        <w:rPr>
          <w:color w:val="000000"/>
        </w:rPr>
        <w:t>нкта (пунктов) приема Получателей</w:t>
      </w:r>
      <w:r w:rsidRPr="00160C80">
        <w:rPr>
          <w:color w:val="000000"/>
        </w:rPr>
        <w:t>, графике работы пункта (пунктов), контактном телефоне.</w:t>
      </w:r>
      <w:r w:rsidRPr="00DC4195">
        <w:t xml:space="preserve"> </w:t>
      </w:r>
    </w:p>
    <w:p w:rsidR="00FC649A" w:rsidRPr="00160C80" w:rsidRDefault="00FC649A" w:rsidP="00FC649A">
      <w:pPr>
        <w:jc w:val="both"/>
        <w:rPr>
          <w:color w:val="000000"/>
        </w:rPr>
      </w:pPr>
      <w:r w:rsidRPr="00160C80">
        <w:rPr>
          <w:color w:val="000000"/>
        </w:rPr>
        <w:t xml:space="preserve">Не позднее 1 (одного) </w:t>
      </w:r>
      <w:r>
        <w:rPr>
          <w:color w:val="000000"/>
        </w:rPr>
        <w:t xml:space="preserve">рабочего </w:t>
      </w:r>
      <w:r w:rsidRPr="00160C80">
        <w:rPr>
          <w:color w:val="000000"/>
        </w:rPr>
        <w:t xml:space="preserve">дня с даты заключения </w:t>
      </w:r>
      <w:r>
        <w:rPr>
          <w:color w:val="000000"/>
        </w:rPr>
        <w:t xml:space="preserve">государственного </w:t>
      </w:r>
      <w:r w:rsidRPr="00160C80">
        <w:rPr>
          <w:color w:val="000000"/>
        </w:rPr>
        <w:t>контракта Исполнитель передает Заказчику копии документов, подтверждающих право Исполнителя использовать помещения пункта (пунктов) приема Получателя,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FC649A" w:rsidRPr="00160C80" w:rsidRDefault="00FC649A" w:rsidP="00FC649A">
      <w:pPr>
        <w:suppressAutoHyphens/>
        <w:jc w:val="both"/>
        <w:rPr>
          <w:color w:val="000000"/>
        </w:rPr>
      </w:pPr>
      <w:r w:rsidRPr="00406C05">
        <w:rPr>
          <w:color w:val="000000"/>
        </w:rPr>
        <w:t xml:space="preserve">5.3. </w:t>
      </w:r>
      <w:r w:rsidRPr="00160C80">
        <w:rPr>
          <w:color w:val="000000"/>
        </w:rPr>
        <w:t xml:space="preserve">В случае организации пункта приема Получателей, Исполнитель обязан предоставить доступное для людей с ограниченными возможностями (Получателям) помещение под размещение пункта (пунктов) приема получателей в соответствии со статьей 15 Федерального закона от 24.11.1995 № 181-ФЗ «О социальной защите инвалидов в Российской Федерации». </w:t>
      </w:r>
    </w:p>
    <w:p w:rsidR="00FC649A" w:rsidRPr="001A1963" w:rsidRDefault="00FC649A" w:rsidP="00FC649A">
      <w:pPr>
        <w:suppressAutoHyphens/>
        <w:jc w:val="both"/>
      </w:pPr>
      <w:r w:rsidRPr="001A1963">
        <w:t>Вход в каждый пункт (пункты)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«Свод правил. Доступность зданий и сооружений дл</w:t>
      </w:r>
      <w:r>
        <w:t>я маломобильных групп населения</w:t>
      </w:r>
      <w:r w:rsidRPr="001A1963">
        <w:t>»</w:t>
      </w:r>
      <w:r>
        <w:t xml:space="preserve"> (далее - </w:t>
      </w:r>
      <w:r w:rsidRPr="007D3D27">
        <w:t>СП 59.13330.2020</w:t>
      </w:r>
      <w:r>
        <w:t>)</w:t>
      </w:r>
      <w:r w:rsidRPr="001A1963">
        <w:t>. Исполнителем должна быть обеспечена возможность самостоятельного передвижения инвалидов по территории пункта (</w:t>
      </w:r>
      <w:r w:rsidRPr="001A1963">
        <w:rPr>
          <w:lang w:eastAsia="ar-SA"/>
        </w:rPr>
        <w:t>пунктов) приема</w:t>
      </w:r>
      <w:r w:rsidRPr="001A1963">
        <w:t>, в том числе с помощью его работников, а также сменного кресла-коляски.</w:t>
      </w:r>
    </w:p>
    <w:p w:rsidR="00FC649A" w:rsidRPr="007D3D27" w:rsidRDefault="00FC649A" w:rsidP="00FC649A">
      <w:pPr>
        <w:suppressAutoHyphens/>
        <w:ind w:right="-1"/>
        <w:jc w:val="both"/>
      </w:pPr>
      <w:r w:rsidRPr="007D3D27">
        <w:rPr>
          <w:b/>
        </w:rPr>
        <w:t>Входная группа</w:t>
      </w:r>
      <w:r w:rsidRPr="007D3D27">
        <w:t xml:space="preserve"> </w:t>
      </w:r>
    </w:p>
    <w:p w:rsidR="00FC649A" w:rsidRPr="007D3D27" w:rsidRDefault="00FC649A" w:rsidP="00FC649A">
      <w:pPr>
        <w:suppressAutoHyphens/>
        <w:ind w:right="-1"/>
        <w:jc w:val="both"/>
      </w:pPr>
      <w:r w:rsidRPr="007D3D27">
        <w:lastRenderedPageBreak/>
        <w:t>При перепадах высот Исполнитель должен учитывать наличие следующих элементов:</w:t>
      </w:r>
    </w:p>
    <w:p w:rsidR="00FC649A" w:rsidRPr="007D3D27" w:rsidRDefault="00FC649A" w:rsidP="00FC649A">
      <w:pPr>
        <w:suppressAutoHyphens/>
        <w:ind w:right="-1"/>
        <w:jc w:val="both"/>
      </w:pPr>
      <w:r w:rsidRPr="007D3D27">
        <w:t>- Пандус с поручнями;</w:t>
      </w:r>
    </w:p>
    <w:p w:rsidR="00FC649A" w:rsidRPr="007D3D27" w:rsidRDefault="00FC649A" w:rsidP="00FC649A">
      <w:pPr>
        <w:suppressAutoHyphens/>
        <w:ind w:right="-1"/>
        <w:jc w:val="both"/>
      </w:pPr>
      <w:r w:rsidRPr="007D3D27">
        <w:t>(в соответствии с п. 5.1.14 – п. 5.1.16; п. 6.1.2 – п. 6.1.4; п. 6.2.9 – п. 6.2.11 СП 59.13330.2020);</w:t>
      </w:r>
    </w:p>
    <w:p w:rsidR="00FC649A" w:rsidRPr="007D3D27" w:rsidRDefault="00FC649A" w:rsidP="00FC649A">
      <w:pPr>
        <w:suppressAutoHyphens/>
        <w:ind w:right="-1"/>
        <w:jc w:val="both"/>
      </w:pPr>
      <w:r w:rsidRPr="007D3D27">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rsidR="00FC649A" w:rsidRPr="007D3D27" w:rsidRDefault="00FC649A" w:rsidP="00FC649A">
      <w:pPr>
        <w:suppressAutoHyphens/>
        <w:ind w:right="-1"/>
        <w:jc w:val="both"/>
      </w:pPr>
      <w:r w:rsidRPr="007D3D27">
        <w:t>- Лестница с поручнями;</w:t>
      </w:r>
    </w:p>
    <w:p w:rsidR="00FC649A" w:rsidRPr="007D3D27" w:rsidRDefault="00FC649A" w:rsidP="00FC649A">
      <w:pPr>
        <w:autoSpaceDE w:val="0"/>
        <w:autoSpaceDN w:val="0"/>
        <w:adjustRightInd w:val="0"/>
        <w:ind w:right="-1"/>
        <w:jc w:val="both"/>
      </w:pPr>
      <w:r w:rsidRPr="007D3D27">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FC649A" w:rsidRPr="007D3D27" w:rsidRDefault="00FC649A" w:rsidP="00FC649A">
      <w:pPr>
        <w:suppressAutoHyphens/>
        <w:ind w:right="-1"/>
        <w:jc w:val="both"/>
      </w:pPr>
      <w:r w:rsidRPr="007D3D27">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rsidR="00FC649A" w:rsidRPr="007D3D27" w:rsidRDefault="00FC649A" w:rsidP="00FC649A">
      <w:pPr>
        <w:suppressAutoHyphens/>
        <w:ind w:right="-1"/>
        <w:jc w:val="both"/>
      </w:pPr>
      <w:r w:rsidRPr="007D3D27">
        <w:t>Применение для инвалидов вместо пандусов аппарелей не допускается на объекте (в соответствии с п. 6.1.2 СП 59.13330.2020).</w:t>
      </w:r>
    </w:p>
    <w:p w:rsidR="00FC649A" w:rsidRPr="007D3D27" w:rsidRDefault="00FC649A" w:rsidP="00FC649A">
      <w:pPr>
        <w:suppressAutoHyphens/>
        <w:ind w:right="-1"/>
        <w:jc w:val="both"/>
        <w:rPr>
          <w:color w:val="000000"/>
        </w:rPr>
      </w:pPr>
      <w:r w:rsidRPr="007D3D27">
        <w:rPr>
          <w:color w:val="000000"/>
        </w:rPr>
        <w:t xml:space="preserve">- Ширина дверных проемов не менее 0,9 м. Прозрачное полотно двери необходимо оснастить яркой контрастной маркировкой. В проемах дверей допускаются </w:t>
      </w:r>
      <w:r>
        <w:rPr>
          <w:color w:val="000000"/>
        </w:rPr>
        <w:t>пороги высотой не более 0,014 м</w:t>
      </w:r>
      <w:r w:rsidRPr="007D3D27">
        <w:rPr>
          <w:color w:val="000000"/>
        </w:rPr>
        <w:t xml:space="preserve"> (</w:t>
      </w:r>
      <w:r w:rsidRPr="007D3D27">
        <w:t xml:space="preserve">в соответствии с </w:t>
      </w:r>
      <w:r w:rsidRPr="007D3D27">
        <w:rPr>
          <w:color w:val="000000"/>
        </w:rPr>
        <w:t>п. 6.1.5, п. 6.1.6, п. 6.2.4 СП 59.13330.2020)</w:t>
      </w:r>
      <w:r>
        <w:rPr>
          <w:color w:val="000000"/>
        </w:rPr>
        <w:t>.</w:t>
      </w:r>
    </w:p>
    <w:p w:rsidR="00FC649A" w:rsidRPr="007D3D27" w:rsidRDefault="00FC649A" w:rsidP="00FC649A">
      <w:pPr>
        <w:suppressAutoHyphens/>
        <w:ind w:right="-1"/>
        <w:jc w:val="both"/>
      </w:pPr>
      <w:r w:rsidRPr="007D3D27">
        <w:t>- Тактильно-контрастные указатели;</w:t>
      </w:r>
    </w:p>
    <w:p w:rsidR="00FC649A" w:rsidRPr="007D3D27" w:rsidRDefault="00FC649A" w:rsidP="00FC649A">
      <w:pPr>
        <w:suppressAutoHyphens/>
        <w:ind w:right="-1"/>
        <w:jc w:val="both"/>
      </w:pPr>
      <w:r w:rsidRPr="007D3D27">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FC649A" w:rsidRPr="007D3D27" w:rsidRDefault="00FC649A" w:rsidP="00FC649A">
      <w:pPr>
        <w:suppressAutoHyphens/>
        <w:ind w:right="-1"/>
        <w:jc w:val="both"/>
        <w:rPr>
          <w:b/>
        </w:rPr>
      </w:pPr>
      <w:r w:rsidRPr="007D3D27">
        <w:rPr>
          <w:b/>
        </w:rPr>
        <w:t>Пути движения внутри пункта (пунктов) приема</w:t>
      </w:r>
    </w:p>
    <w:p w:rsidR="00FC649A" w:rsidRPr="007D3D27" w:rsidRDefault="00FC649A" w:rsidP="00FC649A">
      <w:pPr>
        <w:suppressAutoHyphens/>
        <w:ind w:right="-1"/>
        <w:jc w:val="both"/>
      </w:pPr>
      <w:r w:rsidRPr="007D3D27">
        <w:t>При перепадах высот Исполнитель должен учитывать наличие следующих элементов:</w:t>
      </w:r>
    </w:p>
    <w:p w:rsidR="00FC649A" w:rsidRPr="007D3D27" w:rsidRDefault="00FC649A" w:rsidP="00FC649A">
      <w:pPr>
        <w:suppressAutoHyphens/>
        <w:ind w:right="-1"/>
        <w:jc w:val="both"/>
      </w:pPr>
      <w:r w:rsidRPr="007D3D27">
        <w:t xml:space="preserve">- Лифт, подъемная платформа, эскалатор </w:t>
      </w:r>
    </w:p>
    <w:p w:rsidR="00FC649A" w:rsidRPr="007D3D27" w:rsidRDefault="00FC649A" w:rsidP="00FC649A">
      <w:pPr>
        <w:suppressAutoHyphens/>
        <w:ind w:right="-1"/>
        <w:jc w:val="both"/>
        <w:rPr>
          <w:b/>
        </w:rPr>
      </w:pPr>
      <w:r w:rsidRPr="007D3D27">
        <w:t>(в соответствии с п. 6.2.13 – п. 6.2.18 СП 59.13330.2020).</w:t>
      </w:r>
      <w:r w:rsidRPr="007D3D27">
        <w:rPr>
          <w:b/>
        </w:rPr>
        <w:t xml:space="preserve"> </w:t>
      </w:r>
    </w:p>
    <w:p w:rsidR="00FC649A" w:rsidRPr="007D3D27" w:rsidRDefault="00FC649A" w:rsidP="00FC649A">
      <w:pPr>
        <w:suppressAutoHyphens/>
        <w:ind w:right="-1"/>
        <w:jc w:val="both"/>
      </w:pPr>
      <w:r w:rsidRPr="007D3D27">
        <w:t>Лифт должен иметь габариты не менее 1100 х 1400 мм (ширина х глубина).</w:t>
      </w:r>
    </w:p>
    <w:p w:rsidR="00FC649A" w:rsidRPr="007D3D27" w:rsidRDefault="00FC649A" w:rsidP="00FC649A">
      <w:pPr>
        <w:suppressAutoHyphens/>
        <w:ind w:right="-1"/>
        <w:jc w:val="both"/>
        <w:rPr>
          <w:b/>
        </w:rPr>
      </w:pPr>
      <w:r w:rsidRPr="007D3D27">
        <w:t>- Лестницы необходимо обеспечить противоскользящими контрастными полосами общей шириной 0,08 - 0,1</w:t>
      </w:r>
      <w:r>
        <w:t xml:space="preserve"> </w:t>
      </w:r>
      <w:r w:rsidRPr="007D3D27">
        <w:t>м (в соответствии с п. 6.2.8 СП 59.13330.2020).</w:t>
      </w:r>
    </w:p>
    <w:p w:rsidR="00FC649A" w:rsidRPr="007D3D27" w:rsidRDefault="00FC649A" w:rsidP="00FC649A">
      <w:pPr>
        <w:suppressAutoHyphens/>
        <w:ind w:right="-1"/>
        <w:jc w:val="both"/>
      </w:pPr>
      <w:r w:rsidRPr="007D3D27">
        <w:t>-   Необходимо обеспечить зону досягаемости для посетителей в кресле-коляске в пределах, установленных в соответствии с п. 8.1.7 СП.59.133330.2020.</w:t>
      </w:r>
    </w:p>
    <w:p w:rsidR="00FC649A" w:rsidRPr="007D3D27" w:rsidRDefault="00FC649A" w:rsidP="00FC649A">
      <w:pPr>
        <w:suppressAutoHyphens/>
        <w:ind w:right="-1"/>
        <w:jc w:val="both"/>
      </w:pPr>
      <w:r w:rsidRPr="007D3D27">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FC649A" w:rsidRPr="007D3D27" w:rsidRDefault="00FC649A" w:rsidP="00FC649A">
      <w:pPr>
        <w:suppressAutoHyphens/>
        <w:ind w:right="-1"/>
        <w:jc w:val="both"/>
      </w:pPr>
      <w:r w:rsidRPr="007D3D27">
        <w:t>- Ширина дверных полотен, открытых проемов в стене на путях движения внутри пункта (пунктов) должна быть не менее 0,9 м. Дверные проемы не дол</w:t>
      </w:r>
      <w:r>
        <w:t>жны иметь порогов более 0,014 м</w:t>
      </w:r>
      <w:r w:rsidRPr="007D3D27">
        <w:t xml:space="preserve"> (в соответствии с п. 6.2.4 СП 59.13330.2020).</w:t>
      </w:r>
    </w:p>
    <w:p w:rsidR="00FC649A" w:rsidRPr="007D3D27" w:rsidRDefault="00FC649A" w:rsidP="00FC649A">
      <w:pPr>
        <w:suppressAutoHyphens/>
        <w:ind w:right="-1"/>
        <w:jc w:val="both"/>
      </w:pPr>
      <w:r w:rsidRPr="007D3D27">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w:t>
      </w:r>
      <w:r>
        <w:t xml:space="preserve"> </w:t>
      </w:r>
      <w:r w:rsidRPr="007D3D27">
        <w:t>6.2.3 СП 59.13330.2020)</w:t>
      </w:r>
    </w:p>
    <w:p w:rsidR="00FC649A" w:rsidRPr="007D3D27" w:rsidRDefault="00FC649A" w:rsidP="00FC649A">
      <w:pPr>
        <w:suppressAutoHyphens/>
        <w:ind w:right="-1"/>
        <w:jc w:val="both"/>
        <w:rPr>
          <w:b/>
        </w:rPr>
      </w:pPr>
      <w:r w:rsidRPr="007D3D27">
        <w:rPr>
          <w:b/>
        </w:rPr>
        <w:t>Пути эвакуации</w:t>
      </w:r>
    </w:p>
    <w:p w:rsidR="00FC649A" w:rsidRPr="007D3D27" w:rsidRDefault="00FC649A" w:rsidP="00FC649A">
      <w:pPr>
        <w:suppressAutoHyphens/>
        <w:ind w:right="-1"/>
        <w:jc w:val="both"/>
      </w:pPr>
      <w:r w:rsidRPr="007D3D27">
        <w:t xml:space="preserve">В случае невозможности соблюдения положений части 15 статьи 89 </w:t>
      </w:r>
      <w:hyperlink r:id="rId8" w:history="1">
        <w:r w:rsidRPr="007D3D27">
          <w:t xml:space="preserve">Федерального закона </w:t>
        </w:r>
        <w:r w:rsidRPr="007D3D27">
          <w:br/>
          <w:t>от 22.07.2008 № 123-ФЗ «Технический регламент о требованиях пожарной безопасности</w:t>
        </w:r>
      </w:hyperlink>
      <w:r w:rsidRPr="007D3D27">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FC649A" w:rsidRPr="007D3D27" w:rsidRDefault="00FC649A" w:rsidP="00FC649A">
      <w:pPr>
        <w:suppressAutoHyphens/>
        <w:ind w:right="-1"/>
        <w:jc w:val="both"/>
      </w:pPr>
      <w:r w:rsidRPr="007D3D27">
        <w:t>Пути эвакуации помещений пункта (пунктов) приема должны обеспечивать безопасность посетителей в соответствии с п. 6.2.19 - п. 6.2.32 СП 59.13330.2020.</w:t>
      </w:r>
    </w:p>
    <w:p w:rsidR="00FC649A" w:rsidRPr="007D3D27" w:rsidRDefault="00FC649A" w:rsidP="00FC649A">
      <w:pPr>
        <w:suppressAutoHyphens/>
        <w:ind w:right="-1"/>
        <w:jc w:val="both"/>
      </w:pPr>
      <w:r w:rsidRPr="007D3D27">
        <w:t>Обеспечить систему двухсторонней связи с диспетчером или дежурным (в соответствии с п. 6.5.8 СП 59.13330.2020).</w:t>
      </w:r>
    </w:p>
    <w:p w:rsidR="00FC649A" w:rsidRPr="007D3D27" w:rsidRDefault="00FC649A" w:rsidP="00FC649A">
      <w:pPr>
        <w:autoSpaceDE w:val="0"/>
        <w:autoSpaceDN w:val="0"/>
        <w:adjustRightInd w:val="0"/>
        <w:ind w:right="-1"/>
        <w:jc w:val="both"/>
      </w:pPr>
      <w:r>
        <w:t>5.4</w:t>
      </w:r>
      <w:r w:rsidRPr="007D3D27">
        <w:t>.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w:t>
      </w:r>
      <w:r>
        <w:t xml:space="preserve"> (с поправкой, с Изменениями №1, 2, 3)</w:t>
      </w:r>
      <w:r w:rsidRPr="007D3D27">
        <w:t>, со свободным доступом Получателей. При чем не менее 1 (одной) оборудованной для посещения Получателями в соответствии с п. 6.3.3, 6.3.6, 6.3.9 СП 59.13330.2020)</w:t>
      </w:r>
      <w:hyperlink r:id="rId9" w:history="1"/>
      <w:r w:rsidRPr="007D3D27">
        <w:t>.</w:t>
      </w:r>
    </w:p>
    <w:p w:rsidR="00FC649A" w:rsidRPr="005803EF" w:rsidRDefault="00FC649A" w:rsidP="00FC649A">
      <w:pPr>
        <w:suppressAutoHyphens/>
        <w:jc w:val="both"/>
        <w:rPr>
          <w:lang w:eastAsia="en-US"/>
        </w:rPr>
      </w:pPr>
      <w:r>
        <w:lastRenderedPageBreak/>
        <w:t>5.5.</w:t>
      </w:r>
      <w:r w:rsidRPr="005803EF">
        <w:t xml:space="preserve"> Пункты приема</w:t>
      </w:r>
      <w:r>
        <w:rPr>
          <w:rFonts w:ascii="Times New Roman CYR" w:hAnsi="Times New Roman CYR" w:cs="Times New Roman CYR"/>
        </w:rPr>
        <w:t xml:space="preserve"> Получателей</w:t>
      </w:r>
      <w:r w:rsidRPr="005803EF">
        <w:t xml:space="preserve"> должны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5803EF">
        <w:rPr>
          <w:lang w:eastAsia="en-US"/>
        </w:rPr>
        <w:t xml:space="preserve"> </w:t>
      </w:r>
      <w:r w:rsidRPr="005803EF">
        <w:t>Максимальное время ожидания Получателей в очереди не должно превышать 15 минут. В случае если загруженность пункта (пунктов) приема</w:t>
      </w:r>
      <w:r>
        <w:rPr>
          <w:rFonts w:ascii="Times New Roman CYR" w:hAnsi="Times New Roman CYR" w:cs="Times New Roman CYR"/>
        </w:rPr>
        <w:t xml:space="preserve"> Получателей</w:t>
      </w:r>
      <w:r w:rsidRPr="005803EF">
        <w:t xml:space="preserve"> не позволяет обеспечить достижение указанного показателя, Исполнителем оборудуются дополнительные окна обслуживания. </w:t>
      </w:r>
    </w:p>
    <w:p w:rsidR="00FC649A" w:rsidRPr="005803EF" w:rsidRDefault="00FC649A" w:rsidP="00FC649A">
      <w:pPr>
        <w:suppressAutoHyphens/>
        <w:jc w:val="both"/>
      </w:pPr>
      <w:r>
        <w:t>5.6</w:t>
      </w:r>
      <w:r w:rsidRPr="005803EF">
        <w:t xml:space="preserve">.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5803EF">
        <w:rPr>
          <w:lang w:eastAsia="ar-SA"/>
        </w:rPr>
        <w:t xml:space="preserve">пункта </w:t>
      </w:r>
      <w:r w:rsidRPr="005803EF">
        <w:t>(пунктов)</w:t>
      </w:r>
      <w:r w:rsidRPr="005803EF">
        <w:rPr>
          <w:lang w:eastAsia="ar-SA"/>
        </w:rPr>
        <w:t xml:space="preserve"> приема</w:t>
      </w:r>
      <w:r>
        <w:rPr>
          <w:rFonts w:ascii="Times New Roman CYR" w:hAnsi="Times New Roman CYR" w:cs="Times New Roman CYR"/>
        </w:rPr>
        <w:t xml:space="preserve"> Получателей</w:t>
      </w:r>
      <w:r w:rsidRPr="005803EF">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FC649A" w:rsidRPr="005803EF" w:rsidRDefault="00FC649A" w:rsidP="00FC649A">
      <w:pPr>
        <w:autoSpaceDE w:val="0"/>
        <w:autoSpaceDN w:val="0"/>
        <w:adjustRightInd w:val="0"/>
        <w:jc w:val="both"/>
      </w:pPr>
      <w:r>
        <w:t>5.7</w:t>
      </w:r>
      <w:r w:rsidRPr="005803EF">
        <w:t>. Изделия должны находиться на складе пункта (пунктов) приема</w:t>
      </w:r>
      <w:r>
        <w:rPr>
          <w:rFonts w:ascii="Times New Roman CYR" w:hAnsi="Times New Roman CYR" w:cs="Times New Roman CYR"/>
        </w:rPr>
        <w:t xml:space="preserve"> Получателей</w:t>
      </w:r>
      <w:r w:rsidRPr="005803EF">
        <w:t>,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FC649A" w:rsidRPr="005803EF" w:rsidRDefault="00FC649A" w:rsidP="00FC649A">
      <w:pPr>
        <w:suppressAutoHyphens/>
        <w:jc w:val="both"/>
      </w:pPr>
      <w:r>
        <w:t>5.8.</w:t>
      </w:r>
      <w:r w:rsidRPr="005803EF">
        <w:t xml:space="preserve"> Пункт (пункты) приема</w:t>
      </w:r>
      <w:r>
        <w:rPr>
          <w:rFonts w:ascii="Times New Roman CYR" w:hAnsi="Times New Roman CYR" w:cs="Times New Roman CYR"/>
        </w:rPr>
        <w:t xml:space="preserve"> Получателей</w:t>
      </w:r>
      <w:r w:rsidRPr="005803EF">
        <w:t xml:space="preserve"> должны иметь следующие условия доступности в соответствии с Приказом Министерства труда и социальной защиты Р</w:t>
      </w:r>
      <w:r>
        <w:t xml:space="preserve">оссийской </w:t>
      </w:r>
      <w:r w:rsidRPr="005803EF">
        <w:t>Ф</w:t>
      </w:r>
      <w:r>
        <w:t>едерации</w:t>
      </w:r>
      <w:r w:rsidRPr="005803EF">
        <w:t xml:space="preserve"> от 30 </w:t>
      </w:r>
      <w:r>
        <w:t>июля 2015 года №</w:t>
      </w:r>
      <w:r w:rsidRPr="005803EF">
        <w:t>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C649A" w:rsidRPr="005803EF" w:rsidRDefault="00FC649A" w:rsidP="00FC649A">
      <w:pPr>
        <w:widowControl w:val="0"/>
        <w:jc w:val="both"/>
      </w:pPr>
      <w:r w:rsidRPr="005803EF">
        <w:t>- возможность беспрепятственного входа в объекты и выхода из них;</w:t>
      </w:r>
    </w:p>
    <w:p w:rsidR="00FC649A" w:rsidRPr="005803EF" w:rsidRDefault="00FC649A" w:rsidP="00FC649A">
      <w:pPr>
        <w:widowControl w:val="0"/>
        <w:jc w:val="both"/>
      </w:pPr>
      <w:r w:rsidRPr="005803EF">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FC649A" w:rsidRPr="005803EF" w:rsidRDefault="00FC649A" w:rsidP="00FC649A">
      <w:pPr>
        <w:widowControl w:val="0"/>
        <w:jc w:val="both"/>
      </w:pPr>
      <w:r w:rsidRPr="005803EF">
        <w:t>- сопровождение инвалидов, имеющих стойкие нарушения функции зрения и самостоятельного передвижения по территории объекта;</w:t>
      </w:r>
    </w:p>
    <w:p w:rsidR="00FC649A" w:rsidRPr="005803EF" w:rsidRDefault="00FC649A" w:rsidP="00FC649A">
      <w:pPr>
        <w:widowControl w:val="0"/>
        <w:jc w:val="both"/>
      </w:pPr>
      <w:r w:rsidRPr="005803EF">
        <w:t>- содействие инвалиду при входе в объект и выходе из него, информирование инвалида о доступных маршрутах общественного транспорта;</w:t>
      </w:r>
    </w:p>
    <w:p w:rsidR="00FC649A" w:rsidRPr="005803EF" w:rsidRDefault="00FC649A" w:rsidP="00FC649A">
      <w:pPr>
        <w:widowControl w:val="0"/>
        <w:jc w:val="both"/>
      </w:pPr>
      <w:r w:rsidRPr="005803EF">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C649A" w:rsidRPr="005803EF" w:rsidRDefault="00FC649A" w:rsidP="00FC649A">
      <w:pPr>
        <w:widowControl w:val="0"/>
        <w:jc w:val="both"/>
      </w:pPr>
      <w:r w:rsidRPr="005803EF">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 w:anchor="block_1000" w:history="1">
        <w:r w:rsidRPr="005803EF">
          <w:t>форме</w:t>
        </w:r>
      </w:hyperlink>
      <w:r w:rsidRPr="005803EF">
        <w:t xml:space="preserve"> и в </w:t>
      </w:r>
      <w:hyperlink r:id="rId11" w:anchor="block_2000" w:history="1">
        <w:r w:rsidRPr="005803EF">
          <w:t>порядке</w:t>
        </w:r>
      </w:hyperlink>
      <w:r w:rsidRPr="005803EF">
        <w:t xml:space="preserve">, утвержденных </w:t>
      </w:r>
      <w:hyperlink r:id="rId12" w:history="1">
        <w:r w:rsidRPr="005803EF">
          <w:t>приказом</w:t>
        </w:r>
      </w:hyperlink>
      <w:r w:rsidRPr="005803EF">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FC649A" w:rsidRPr="004D51C7" w:rsidRDefault="00FC649A" w:rsidP="00FC649A">
      <w:pPr>
        <w:widowControl w:val="0"/>
        <w:jc w:val="both"/>
      </w:pPr>
      <w:r>
        <w:t xml:space="preserve">5.9. </w:t>
      </w:r>
      <w:r w:rsidRPr="005803EF">
        <w:t xml:space="preserve">Пункты должны обеспечивать прием Получателей не менее </w:t>
      </w:r>
      <w:r>
        <w:t>6</w:t>
      </w:r>
      <w:r w:rsidRPr="005803EF">
        <w:t xml:space="preserve"> (</w:t>
      </w:r>
      <w:r>
        <w:t>шести</w:t>
      </w:r>
      <w:r w:rsidRPr="005803EF">
        <w:t>) дней в неделю, не менее 40 часов в неделю, при этом, время работы пункта (пунктов)</w:t>
      </w:r>
      <w:r>
        <w:t xml:space="preserve"> приема</w:t>
      </w:r>
      <w:r>
        <w:rPr>
          <w:rFonts w:ascii="Times New Roman CYR" w:hAnsi="Times New Roman CYR" w:cs="Times New Roman CYR"/>
        </w:rPr>
        <w:t xml:space="preserve"> Получателей</w:t>
      </w:r>
      <w:r w:rsidRPr="005803EF">
        <w:t xml:space="preserve"> должно попадать в интервал с 08:00 до 22:00.</w:t>
      </w:r>
    </w:p>
    <w:p w:rsidR="00FC649A" w:rsidRPr="00F32DB0" w:rsidRDefault="00FC649A" w:rsidP="00FC649A">
      <w:pPr>
        <w:suppressAutoHyphens/>
        <w:spacing w:before="120"/>
        <w:jc w:val="both"/>
      </w:pPr>
      <w:r>
        <w:t>6</w:t>
      </w:r>
      <w:r w:rsidRPr="005803EF">
        <w:t xml:space="preserve">. </w:t>
      </w:r>
      <w:r w:rsidRPr="00F32DB0">
        <w:t xml:space="preserve">В случае выбора Получателем способа получения </w:t>
      </w:r>
      <w:r>
        <w:t>Изделия</w:t>
      </w:r>
      <w:r w:rsidRPr="00F32DB0">
        <w:t xml:space="preserve"> путем передачи </w:t>
      </w:r>
      <w:r>
        <w:t>Изделия</w:t>
      </w:r>
      <w:r w:rsidRPr="00F32DB0">
        <w:t xml:space="preserve"> по месту нахождения Получателя, такая доставка осуществляется </w:t>
      </w:r>
      <w:r>
        <w:t>Исполнителем</w:t>
      </w:r>
      <w:r w:rsidRPr="00F32DB0">
        <w:t xml:space="preserve"> в пределах административной границы субъекта, не менее чем с 10:00 до 21:00 не менее 6 (шести) дней неделю, по пр</w:t>
      </w:r>
      <w:r>
        <w:t>едварительной записи по телефонному номеру</w:t>
      </w:r>
      <w:r w:rsidRPr="00F32DB0">
        <w:t xml:space="preserve">, предоставленному Заказчику </w:t>
      </w:r>
      <w:r>
        <w:rPr>
          <w:rFonts w:ascii="Times New Roman CYR" w:hAnsi="Times New Roman CYR" w:cs="Times New Roman CYR"/>
        </w:rPr>
        <w:t>не позднее 1 (одного) рабочего дня с даты заключения</w:t>
      </w:r>
      <w:r w:rsidRPr="00F32DB0">
        <w:rPr>
          <w:rFonts w:ascii="Times New Roman CYR" w:hAnsi="Times New Roman CYR" w:cs="Times New Roman CYR"/>
        </w:rPr>
        <w:t xml:space="preserve"> </w:t>
      </w:r>
      <w:r>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sidRPr="00F32DB0">
        <w:t xml:space="preserve">. Доставка осуществляется за счет средств </w:t>
      </w:r>
      <w:r>
        <w:t>Исполнителя</w:t>
      </w:r>
      <w:r w:rsidRPr="00F32DB0">
        <w:t>.</w:t>
      </w:r>
    </w:p>
    <w:p w:rsidR="00FC649A" w:rsidRPr="00F32DB0" w:rsidRDefault="00FC649A" w:rsidP="00FC649A">
      <w:pPr>
        <w:suppressAutoHyphens/>
        <w:jc w:val="both"/>
      </w:pPr>
      <w:r>
        <w:t xml:space="preserve">Исполнитель </w:t>
      </w:r>
      <w:r w:rsidRPr="00F32DB0">
        <w:t xml:space="preserve">обязан информировать Заказчика о невозможности доставки </w:t>
      </w:r>
      <w:r>
        <w:t xml:space="preserve">Изделия </w:t>
      </w:r>
      <w:r w:rsidRPr="00F32DB0">
        <w:t>Получателю не позднее дня, следующего за днем доставки, согласованным с Получателем.</w:t>
      </w:r>
    </w:p>
    <w:p w:rsidR="00FC649A" w:rsidRPr="005803EF" w:rsidRDefault="00FC649A" w:rsidP="00FC649A">
      <w:pPr>
        <w:suppressAutoHyphens/>
        <w:jc w:val="both"/>
      </w:pPr>
      <w:r>
        <w:t xml:space="preserve">6.1. </w:t>
      </w:r>
      <w:r w:rsidRPr="005803EF">
        <w:t>Выполнять работы по изготовлению Издели</w:t>
      </w:r>
      <w:r>
        <w:t>й</w:t>
      </w:r>
      <w:r w:rsidRPr="005803EF">
        <w:t xml:space="preserve"> по инд</w:t>
      </w:r>
      <w:r>
        <w:t>ивидуальным размерам Получателя, выдачу Изделий</w:t>
      </w:r>
      <w:r w:rsidRPr="005803EF">
        <w:t>, обучение пользованию Издели</w:t>
      </w:r>
      <w:r>
        <w:t>ем</w:t>
      </w:r>
      <w:r w:rsidRPr="005803EF">
        <w:t xml:space="preserve"> в срок не более </w:t>
      </w:r>
      <w:r>
        <w:t xml:space="preserve">60 </w:t>
      </w:r>
      <w:r w:rsidRPr="005803EF">
        <w:t>(</w:t>
      </w:r>
      <w:r>
        <w:t>шестидесяти</w:t>
      </w:r>
      <w:r w:rsidRPr="005803EF">
        <w:t xml:space="preserve">) </w:t>
      </w:r>
      <w:r>
        <w:t xml:space="preserve">календарных </w:t>
      </w:r>
      <w:r w:rsidRPr="005803EF">
        <w:t>дней со дня обращения Получателя.</w:t>
      </w:r>
    </w:p>
    <w:p w:rsidR="00FC649A" w:rsidRDefault="00FC649A" w:rsidP="00FC649A">
      <w:pPr>
        <w:jc w:val="both"/>
      </w:pPr>
      <w:r>
        <w:t>6.2.</w:t>
      </w:r>
      <w:r w:rsidRPr="005803EF">
        <w:t xml:space="preserve"> С целью подтверждения соответствия изготовляе</w:t>
      </w:r>
      <w:r>
        <w:t>мых Изделий</w:t>
      </w:r>
      <w:r w:rsidRPr="005803EF">
        <w:t xml:space="preserve"> по количеству, комплектности, ассортименту и качеству требованиям, установленным </w:t>
      </w:r>
      <w:r>
        <w:t>техническим заданием</w:t>
      </w:r>
      <w:r w:rsidRPr="005803EF">
        <w:t>, Заказчик по своему усмотрению производит сплошную и/или выборочную проверку Изделий и соответствия пункта (пунктов) приема</w:t>
      </w:r>
      <w:r>
        <w:t xml:space="preserve"> Получателей</w:t>
      </w:r>
      <w:r w:rsidRPr="005803EF">
        <w:t xml:space="preserve"> требованиям </w:t>
      </w:r>
      <w:r>
        <w:t xml:space="preserve">настоящего технического </w:t>
      </w:r>
      <w:r>
        <w:lastRenderedPageBreak/>
        <w:t>задания</w:t>
      </w:r>
      <w:r w:rsidRPr="005803EF">
        <w:t>. При проведении проверки Заказчик вправе осуществлять фотофиксацию и/или видеозапись.</w:t>
      </w:r>
    </w:p>
    <w:p w:rsidR="00FC649A" w:rsidRPr="005803EF" w:rsidRDefault="00FC649A" w:rsidP="00FC649A">
      <w:pPr>
        <w:jc w:val="both"/>
        <w:rPr>
          <w:bCs/>
          <w:kern w:val="36"/>
        </w:rPr>
      </w:pPr>
      <w:r>
        <w:t>6.3.</w:t>
      </w:r>
      <w:r w:rsidRPr="003852A4">
        <w:t xml:space="preserve"> </w:t>
      </w:r>
      <w:r w:rsidRPr="00383712">
        <w:t xml:space="preserve">В случаях отказа от </w:t>
      </w:r>
      <w:r>
        <w:t>Изделия</w:t>
      </w:r>
      <w:r w:rsidRPr="00383712">
        <w:t xml:space="preserve"> Получателя, </w:t>
      </w:r>
      <w:r>
        <w:t>Исполнитель</w:t>
      </w:r>
      <w:r w:rsidRPr="00383712">
        <w:t xml:space="preserve">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w:t>
      </w:r>
      <w:r>
        <w:t>ам:</w:t>
      </w:r>
      <w:r w:rsidRPr="00383712">
        <w:t xml:space="preserve"> </w:t>
      </w:r>
      <w:hyperlink r:id="rId13" w:history="1">
        <w:r w:rsidRPr="00383712">
          <w:rPr>
            <w:rStyle w:val="a3"/>
          </w:rPr>
          <w:t>osp@ro78.fss.ru</w:t>
        </w:r>
      </w:hyperlink>
      <w:r w:rsidRPr="00383712">
        <w:t xml:space="preserve">, </w:t>
      </w:r>
      <w:hyperlink r:id="rId14" w:history="1">
        <w:r w:rsidRPr="00383712">
          <w:rPr>
            <w:rStyle w:val="a3"/>
          </w:rPr>
          <w:t>tsrfil31@ro78.fss.ru</w:t>
        </w:r>
      </w:hyperlink>
      <w:r w:rsidRPr="00383712">
        <w:t>.</w:t>
      </w:r>
    </w:p>
    <w:p w:rsidR="00125D9F" w:rsidRPr="00125D9F" w:rsidRDefault="00125D9F" w:rsidP="00E1287C">
      <w:pPr>
        <w:spacing w:after="3" w:line="248" w:lineRule="auto"/>
        <w:ind w:left="142" w:right="-87"/>
        <w:jc w:val="both"/>
        <w:rPr>
          <w:bCs/>
          <w:lang w:eastAsia="en-US"/>
        </w:rPr>
      </w:pPr>
      <w:bookmarkStart w:id="0" w:name="_GoBack"/>
      <w:bookmarkEnd w:id="0"/>
    </w:p>
    <w:sectPr w:rsidR="00125D9F" w:rsidRPr="00125D9F" w:rsidSect="00331E20">
      <w:pgSz w:w="11906" w:h="16838"/>
      <w:pgMar w:top="680" w:right="851"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F38"/>
    <w:multiLevelType w:val="hybridMultilevel"/>
    <w:tmpl w:val="B6DA6BBA"/>
    <w:lvl w:ilvl="0" w:tplc="33D49D34">
      <w:start w:val="1"/>
      <w:numFmt w:val="bullet"/>
      <w:lvlText w:val="-"/>
      <w:lvlJc w:val="left"/>
      <w:pPr>
        <w:ind w:left="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84B616">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A00F4A">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344192">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58FF9C">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7C526A">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6A8D16">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965700">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602A46">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3E063A4"/>
    <w:multiLevelType w:val="hybridMultilevel"/>
    <w:tmpl w:val="D1B6CD50"/>
    <w:lvl w:ilvl="0" w:tplc="276CE7A4">
      <w:start w:val="1"/>
      <w:numFmt w:val="bullet"/>
      <w:lvlText w:val="-"/>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12641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324D6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681CD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0EDFF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B8526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9C700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78134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9C5C3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57922E6"/>
    <w:multiLevelType w:val="multilevel"/>
    <w:tmpl w:val="098C900C"/>
    <w:lvl w:ilvl="0">
      <w:start w:val="5"/>
      <w:numFmt w:val="decimal"/>
      <w:lvlText w:val="%1."/>
      <w:lvlJc w:val="left"/>
      <w:pPr>
        <w:ind w:left="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8F132C0"/>
    <w:multiLevelType w:val="hybridMultilevel"/>
    <w:tmpl w:val="43F47B66"/>
    <w:lvl w:ilvl="0" w:tplc="752CA7F4">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C46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C81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07B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C7F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2A3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099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EEC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48A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EB2FDF"/>
    <w:multiLevelType w:val="multilevel"/>
    <w:tmpl w:val="7A8CA7B4"/>
    <w:lvl w:ilvl="0">
      <w:start w:val="2"/>
      <w:numFmt w:val="decimal"/>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A8F50B2"/>
    <w:multiLevelType w:val="hybridMultilevel"/>
    <w:tmpl w:val="F6F47CE4"/>
    <w:lvl w:ilvl="0" w:tplc="A7D2D6AC">
      <w:start w:val="1"/>
      <w:numFmt w:val="bullet"/>
      <w:lvlText w:val="-"/>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803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00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412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C02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A26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696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AEA5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C090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552D77"/>
    <w:multiLevelType w:val="hybridMultilevel"/>
    <w:tmpl w:val="B3124792"/>
    <w:lvl w:ilvl="0" w:tplc="005061B6">
      <w:start w:val="1"/>
      <w:numFmt w:val="bullet"/>
      <w:lvlText w:val="-"/>
      <w:lvlJc w:val="left"/>
      <w:pPr>
        <w:ind w:left="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132136A">
      <w:start w:val="1"/>
      <w:numFmt w:val="bullet"/>
      <w:lvlText w:val="o"/>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17628C6">
      <w:start w:val="1"/>
      <w:numFmt w:val="bullet"/>
      <w:lvlText w:val="▪"/>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C885C74">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17677BA">
      <w:start w:val="1"/>
      <w:numFmt w:val="bullet"/>
      <w:lvlText w:val="o"/>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C209764">
      <w:start w:val="1"/>
      <w:numFmt w:val="bullet"/>
      <w:lvlText w:val="▪"/>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648C852">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2D2FFFC">
      <w:start w:val="1"/>
      <w:numFmt w:val="bullet"/>
      <w:lvlText w:val="o"/>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A820CA">
      <w:start w:val="1"/>
      <w:numFmt w:val="bullet"/>
      <w:lvlText w:val="▪"/>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1119296B"/>
    <w:multiLevelType w:val="multilevel"/>
    <w:tmpl w:val="4C2A7C7C"/>
    <w:lvl w:ilvl="0">
      <w:start w:val="4"/>
      <w:numFmt w:val="decimal"/>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15871401"/>
    <w:multiLevelType w:val="hybridMultilevel"/>
    <w:tmpl w:val="7F509470"/>
    <w:lvl w:ilvl="0" w:tplc="BA42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BF3F4C"/>
    <w:multiLevelType w:val="multilevel"/>
    <w:tmpl w:val="2CC86F3C"/>
    <w:lvl w:ilvl="0">
      <w:start w:val="5"/>
      <w:numFmt w:val="decimal"/>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18396E78"/>
    <w:multiLevelType w:val="hybridMultilevel"/>
    <w:tmpl w:val="6EEE21CA"/>
    <w:lvl w:ilvl="0" w:tplc="1D688AF6">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C1D7E"/>
    <w:multiLevelType w:val="hybridMultilevel"/>
    <w:tmpl w:val="3CBC4886"/>
    <w:lvl w:ilvl="0" w:tplc="BD4E1278">
      <w:start w:val="1"/>
      <w:numFmt w:val="bullet"/>
      <w:lvlText w:val="-"/>
      <w:lvlJc w:val="left"/>
      <w:pPr>
        <w:ind w:left="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3A605E6">
      <w:start w:val="1"/>
      <w:numFmt w:val="bullet"/>
      <w:lvlText w:val="o"/>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184032E">
      <w:start w:val="1"/>
      <w:numFmt w:val="bullet"/>
      <w:lvlText w:val="▪"/>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7DADCF4">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1643B4A">
      <w:start w:val="1"/>
      <w:numFmt w:val="bullet"/>
      <w:lvlText w:val="o"/>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9A07978">
      <w:start w:val="1"/>
      <w:numFmt w:val="bullet"/>
      <w:lvlText w:val="▪"/>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600F8A4">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0344832">
      <w:start w:val="1"/>
      <w:numFmt w:val="bullet"/>
      <w:lvlText w:val="o"/>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FE8281C">
      <w:start w:val="1"/>
      <w:numFmt w:val="bullet"/>
      <w:lvlText w:val="▪"/>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nsid w:val="36423EA7"/>
    <w:multiLevelType w:val="hybridMultilevel"/>
    <w:tmpl w:val="8BC47EC8"/>
    <w:lvl w:ilvl="0" w:tplc="515494EC">
      <w:start w:val="1"/>
      <w:numFmt w:val="bullet"/>
      <w:lvlText w:val="-"/>
      <w:lvlJc w:val="left"/>
      <w:pPr>
        <w:ind w:left="45"/>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1" w:tplc="AD66A364">
      <w:start w:val="1"/>
      <w:numFmt w:val="bullet"/>
      <w:lvlText w:val="o"/>
      <w:lvlJc w:val="left"/>
      <w:pPr>
        <w:ind w:left="10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2" w:tplc="D840BB1A">
      <w:start w:val="1"/>
      <w:numFmt w:val="bullet"/>
      <w:lvlText w:val="▪"/>
      <w:lvlJc w:val="left"/>
      <w:pPr>
        <w:ind w:left="18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3" w:tplc="5E94D838">
      <w:start w:val="1"/>
      <w:numFmt w:val="bullet"/>
      <w:lvlText w:val="•"/>
      <w:lvlJc w:val="left"/>
      <w:pPr>
        <w:ind w:left="25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4" w:tplc="62966B6C">
      <w:start w:val="1"/>
      <w:numFmt w:val="bullet"/>
      <w:lvlText w:val="o"/>
      <w:lvlJc w:val="left"/>
      <w:pPr>
        <w:ind w:left="325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5" w:tplc="AD063872">
      <w:start w:val="1"/>
      <w:numFmt w:val="bullet"/>
      <w:lvlText w:val="▪"/>
      <w:lvlJc w:val="left"/>
      <w:pPr>
        <w:ind w:left="397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6" w:tplc="D4960B12">
      <w:start w:val="1"/>
      <w:numFmt w:val="bullet"/>
      <w:lvlText w:val="•"/>
      <w:lvlJc w:val="left"/>
      <w:pPr>
        <w:ind w:left="46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7" w:tplc="FFDEA5F6">
      <w:start w:val="1"/>
      <w:numFmt w:val="bullet"/>
      <w:lvlText w:val="o"/>
      <w:lvlJc w:val="left"/>
      <w:pPr>
        <w:ind w:left="54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8" w:tplc="80269620">
      <w:start w:val="1"/>
      <w:numFmt w:val="bullet"/>
      <w:lvlText w:val="▪"/>
      <w:lvlJc w:val="left"/>
      <w:pPr>
        <w:ind w:left="61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abstractNum>
  <w:abstractNum w:abstractNumId="13">
    <w:nsid w:val="36A0606E"/>
    <w:multiLevelType w:val="hybridMultilevel"/>
    <w:tmpl w:val="0D02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B345B"/>
    <w:multiLevelType w:val="hybridMultilevel"/>
    <w:tmpl w:val="688657D4"/>
    <w:lvl w:ilvl="0" w:tplc="C4DCB59E">
      <w:start w:val="1"/>
      <w:numFmt w:val="bullet"/>
      <w:lvlText w:val="-"/>
      <w:lvlJc w:val="left"/>
      <w:pPr>
        <w:ind w:left="9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9106BDE">
      <w:start w:val="1"/>
      <w:numFmt w:val="bullet"/>
      <w:lvlText w:val="o"/>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178C9A6">
      <w:start w:val="1"/>
      <w:numFmt w:val="bullet"/>
      <w:lvlText w:val="▪"/>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627E86">
      <w:start w:val="1"/>
      <w:numFmt w:val="bullet"/>
      <w:lvlText w:val="•"/>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924FA0">
      <w:start w:val="1"/>
      <w:numFmt w:val="bullet"/>
      <w:lvlText w:val="o"/>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072C16E">
      <w:start w:val="1"/>
      <w:numFmt w:val="bullet"/>
      <w:lvlText w:val="▪"/>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7CCED96">
      <w:start w:val="1"/>
      <w:numFmt w:val="bullet"/>
      <w:lvlText w:val="•"/>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05C793C">
      <w:start w:val="1"/>
      <w:numFmt w:val="bullet"/>
      <w:lvlText w:val="o"/>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4648EFA">
      <w:start w:val="1"/>
      <w:numFmt w:val="bullet"/>
      <w:lvlText w:val="▪"/>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nsid w:val="411E55EC"/>
    <w:multiLevelType w:val="multilevel"/>
    <w:tmpl w:val="A1A82F30"/>
    <w:lvl w:ilvl="0">
      <w:start w:val="4"/>
      <w:numFmt w:val="decimal"/>
      <w:lvlText w:val="%1."/>
      <w:lvlJc w:val="left"/>
      <w:pPr>
        <w:ind w:left="4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050665B"/>
    <w:multiLevelType w:val="hybridMultilevel"/>
    <w:tmpl w:val="D22A23A0"/>
    <w:lvl w:ilvl="0" w:tplc="FC70FECE">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529C600D"/>
    <w:multiLevelType w:val="hybridMultilevel"/>
    <w:tmpl w:val="1A5CB3FC"/>
    <w:lvl w:ilvl="0" w:tplc="5636ED36">
      <w:start w:val="4"/>
      <w:numFmt w:val="decimal"/>
      <w:lvlText w:val="%1."/>
      <w:lvlJc w:val="left"/>
      <w:pPr>
        <w:ind w:left="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81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45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89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64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C7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2CA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F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C33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2AC604C"/>
    <w:multiLevelType w:val="multilevel"/>
    <w:tmpl w:val="100AD12A"/>
    <w:lvl w:ilvl="0">
      <w:start w:val="4"/>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80B5BAF"/>
    <w:multiLevelType w:val="multilevel"/>
    <w:tmpl w:val="42FAC016"/>
    <w:lvl w:ilvl="0">
      <w:start w:val="5"/>
      <w:numFmt w:val="decimal"/>
      <w:lvlText w:val="%1."/>
      <w:lvlJc w:val="left"/>
      <w:pPr>
        <w:ind w:left="425"/>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nsid w:val="5BB74F76"/>
    <w:multiLevelType w:val="hybridMultilevel"/>
    <w:tmpl w:val="687AA3DE"/>
    <w:lvl w:ilvl="0" w:tplc="188E42BE">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6D8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3E7F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210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8F3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213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0E8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425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E30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59D758A"/>
    <w:multiLevelType w:val="hybridMultilevel"/>
    <w:tmpl w:val="24648732"/>
    <w:lvl w:ilvl="0" w:tplc="F58C81C0">
      <w:start w:val="1"/>
      <w:numFmt w:val="bullet"/>
      <w:pStyle w:val="Normal1"/>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4A1C6A"/>
    <w:multiLevelType w:val="hybridMultilevel"/>
    <w:tmpl w:val="849CE86C"/>
    <w:lvl w:ilvl="0" w:tplc="F6466ED4">
      <w:start w:val="1"/>
      <w:numFmt w:val="bullet"/>
      <w:lvlText w:val="-"/>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96045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EEB04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9C634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82336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14F5C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D847A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586B6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D26DE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380885"/>
    <w:multiLevelType w:val="hybridMultilevel"/>
    <w:tmpl w:val="FFD2A4D2"/>
    <w:lvl w:ilvl="0" w:tplc="AA5E80F8">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A75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065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2A1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02D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E3D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4FC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013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A2B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6"/>
  </w:num>
  <w:num w:numId="3">
    <w:abstractNumId w:val="8"/>
  </w:num>
  <w:num w:numId="4">
    <w:abstractNumId w:val="10"/>
  </w:num>
  <w:num w:numId="5">
    <w:abstractNumId w:val="24"/>
  </w:num>
  <w:num w:numId="6">
    <w:abstractNumId w:val="13"/>
  </w:num>
  <w:num w:numId="7">
    <w:abstractNumId w:val="12"/>
  </w:num>
  <w:num w:numId="8">
    <w:abstractNumId w:val="19"/>
  </w:num>
  <w:num w:numId="9">
    <w:abstractNumId w:val="5"/>
  </w:num>
  <w:num w:numId="10">
    <w:abstractNumId w:val="21"/>
  </w:num>
  <w:num w:numId="11">
    <w:abstractNumId w:val="25"/>
  </w:num>
  <w:num w:numId="12">
    <w:abstractNumId w:val="3"/>
  </w:num>
  <w:num w:numId="13">
    <w:abstractNumId w:val="18"/>
  </w:num>
  <w:num w:numId="14">
    <w:abstractNumId w:val="4"/>
  </w:num>
  <w:num w:numId="15">
    <w:abstractNumId w:val="7"/>
  </w:num>
  <w:num w:numId="16">
    <w:abstractNumId w:val="0"/>
  </w:num>
  <w:num w:numId="17">
    <w:abstractNumId w:val="9"/>
  </w:num>
  <w:num w:numId="18">
    <w:abstractNumId w:val="23"/>
  </w:num>
  <w:num w:numId="19">
    <w:abstractNumId w:val="1"/>
  </w:num>
  <w:num w:numId="20">
    <w:abstractNumId w:val="2"/>
  </w:num>
  <w:num w:numId="21">
    <w:abstractNumId w:val="15"/>
  </w:num>
  <w:num w:numId="22">
    <w:abstractNumId w:val="14"/>
  </w:num>
  <w:num w:numId="23">
    <w:abstractNumId w:val="20"/>
  </w:num>
  <w:num w:numId="24">
    <w:abstractNumId w:val="11"/>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9B"/>
    <w:rsid w:val="00125D9F"/>
    <w:rsid w:val="00331E20"/>
    <w:rsid w:val="003B45D5"/>
    <w:rsid w:val="00512E48"/>
    <w:rsid w:val="007B0469"/>
    <w:rsid w:val="00A3645A"/>
    <w:rsid w:val="00B76453"/>
    <w:rsid w:val="00BB669B"/>
    <w:rsid w:val="00E1287C"/>
    <w:rsid w:val="00FC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DA044-E837-454F-9F79-B71E7A89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9B"/>
    <w:pPr>
      <w:spacing w:after="0" w:line="240" w:lineRule="auto"/>
    </w:pPr>
    <w:rPr>
      <w:rFonts w:ascii="Times New Roman" w:eastAsia="Calibri" w:hAnsi="Times New Roman" w:cs="Times New Roman"/>
      <w:sz w:val="24"/>
      <w:szCs w:val="24"/>
      <w:lang w:eastAsia="ru-RU"/>
    </w:rPr>
  </w:style>
  <w:style w:type="paragraph" w:styleId="1">
    <w:name w:val="heading 1"/>
    <w:next w:val="a"/>
    <w:link w:val="10"/>
    <w:uiPriority w:val="9"/>
    <w:unhideWhenUsed/>
    <w:qFormat/>
    <w:rsid w:val="00125D9F"/>
    <w:pPr>
      <w:keepNext/>
      <w:keepLines/>
      <w:spacing w:after="0"/>
      <w:ind w:left="59"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BB669B"/>
    <w:pPr>
      <w:widowControl w:val="0"/>
      <w:numPr>
        <w:numId w:val="1"/>
      </w:numPr>
      <w:spacing w:after="0" w:line="300" w:lineRule="auto"/>
    </w:pPr>
    <w:rPr>
      <w:rFonts w:ascii="Times New Roman" w:eastAsia="Times New Roman" w:hAnsi="Times New Roman" w:cs="Times New Roman"/>
      <w:snapToGrid w:val="0"/>
      <w:szCs w:val="20"/>
      <w:lang w:eastAsia="ru-RU"/>
    </w:rPr>
  </w:style>
  <w:style w:type="character" w:styleId="a3">
    <w:name w:val="Hyperlink"/>
    <w:uiPriority w:val="99"/>
    <w:rsid w:val="00B76453"/>
    <w:rPr>
      <w:color w:val="0000FF"/>
      <w:u w:val="single"/>
    </w:rPr>
  </w:style>
  <w:style w:type="paragraph" w:styleId="a4">
    <w:name w:val="Balloon Text"/>
    <w:basedOn w:val="a"/>
    <w:link w:val="a5"/>
    <w:uiPriority w:val="99"/>
    <w:semiHidden/>
    <w:unhideWhenUsed/>
    <w:rsid w:val="00B76453"/>
    <w:rPr>
      <w:rFonts w:ascii="Segoe UI" w:hAnsi="Segoe UI" w:cs="Segoe UI"/>
      <w:sz w:val="18"/>
      <w:szCs w:val="18"/>
    </w:rPr>
  </w:style>
  <w:style w:type="character" w:customStyle="1" w:styleId="a5">
    <w:name w:val="Текст выноски Знак"/>
    <w:basedOn w:val="a0"/>
    <w:link w:val="a4"/>
    <w:uiPriority w:val="99"/>
    <w:semiHidden/>
    <w:rsid w:val="00B76453"/>
    <w:rPr>
      <w:rFonts w:ascii="Segoe UI" w:eastAsia="Calibri" w:hAnsi="Segoe UI" w:cs="Segoe UI"/>
      <w:sz w:val="18"/>
      <w:szCs w:val="18"/>
      <w:lang w:eastAsia="ru-RU"/>
    </w:rPr>
  </w:style>
  <w:style w:type="character" w:customStyle="1" w:styleId="10">
    <w:name w:val="Заголовок 1 Знак"/>
    <w:basedOn w:val="a0"/>
    <w:link w:val="1"/>
    <w:uiPriority w:val="9"/>
    <w:rsid w:val="00125D9F"/>
    <w:rPr>
      <w:rFonts w:ascii="Times New Roman" w:eastAsia="Times New Roman" w:hAnsi="Times New Roman" w:cs="Times New Roman"/>
      <w:b/>
      <w:color w:val="000000"/>
      <w:sz w:val="24"/>
      <w:lang w:eastAsia="ru-RU"/>
    </w:rPr>
  </w:style>
  <w:style w:type="paragraph" w:customStyle="1" w:styleId="Web">
    <w:name w:val="Обычный (Web)"/>
    <w:basedOn w:val="a"/>
    <w:uiPriority w:val="99"/>
    <w:rsid w:val="00125D9F"/>
    <w:pPr>
      <w:suppressAutoHyphens/>
      <w:spacing w:before="280" w:after="280"/>
    </w:pPr>
    <w:rPr>
      <w:rFonts w:ascii="Arial Unicode MS" w:eastAsia="Arial Unicode MS" w:hAnsi="Arial Unicode MS" w:cs="Arial Unicode MS"/>
      <w:lang w:eastAsia="ar-SA"/>
    </w:rPr>
  </w:style>
  <w:style w:type="paragraph" w:styleId="a6">
    <w:name w:val="header"/>
    <w:basedOn w:val="a"/>
    <w:link w:val="a7"/>
    <w:uiPriority w:val="99"/>
    <w:unhideWhenUsed/>
    <w:rsid w:val="00125D9F"/>
    <w:pPr>
      <w:tabs>
        <w:tab w:val="center" w:pos="4677"/>
        <w:tab w:val="right" w:pos="9355"/>
      </w:tabs>
    </w:pPr>
  </w:style>
  <w:style w:type="character" w:customStyle="1" w:styleId="a7">
    <w:name w:val="Верхний колонтитул Знак"/>
    <w:basedOn w:val="a0"/>
    <w:link w:val="a6"/>
    <w:uiPriority w:val="99"/>
    <w:rsid w:val="00125D9F"/>
    <w:rPr>
      <w:rFonts w:ascii="Times New Roman" w:eastAsia="Calibri" w:hAnsi="Times New Roman" w:cs="Times New Roman"/>
      <w:sz w:val="24"/>
      <w:szCs w:val="24"/>
      <w:lang w:eastAsia="ru-RU"/>
    </w:rPr>
  </w:style>
  <w:style w:type="paragraph" w:styleId="a8">
    <w:name w:val="footer"/>
    <w:basedOn w:val="a"/>
    <w:link w:val="a9"/>
    <w:uiPriority w:val="99"/>
    <w:unhideWhenUsed/>
    <w:rsid w:val="00125D9F"/>
    <w:pPr>
      <w:tabs>
        <w:tab w:val="center" w:pos="4677"/>
        <w:tab w:val="right" w:pos="9355"/>
      </w:tabs>
    </w:pPr>
  </w:style>
  <w:style w:type="character" w:customStyle="1" w:styleId="a9">
    <w:name w:val="Нижний колонтитул Знак"/>
    <w:basedOn w:val="a0"/>
    <w:link w:val="a8"/>
    <w:uiPriority w:val="99"/>
    <w:rsid w:val="00125D9F"/>
    <w:rPr>
      <w:rFonts w:ascii="Times New Roman" w:eastAsia="Calibri" w:hAnsi="Times New Roman" w:cs="Times New Roman"/>
      <w:sz w:val="24"/>
      <w:szCs w:val="24"/>
      <w:lang w:eastAsia="ru-RU"/>
    </w:rPr>
  </w:style>
  <w:style w:type="paragraph" w:customStyle="1" w:styleId="aa">
    <w:name w:val="Базовый"/>
    <w:uiPriority w:val="99"/>
    <w:rsid w:val="00125D9F"/>
    <w:pPr>
      <w:tabs>
        <w:tab w:val="left" w:pos="706"/>
      </w:tabs>
      <w:suppressAutoHyphens/>
      <w:spacing w:after="0" w:line="200" w:lineRule="atLeast"/>
    </w:pPr>
    <w:rPr>
      <w:rFonts w:ascii="Times New Roman" w:eastAsia="Times New Roman" w:hAnsi="Times New Roman" w:cs="Tahoma"/>
      <w:sz w:val="24"/>
      <w:szCs w:val="24"/>
      <w:lang w:eastAsia="zh-CN" w:bidi="hi-IN"/>
    </w:rPr>
  </w:style>
  <w:style w:type="paragraph" w:styleId="HTML">
    <w:name w:val="HTML Preformatted"/>
    <w:basedOn w:val="a"/>
    <w:link w:val="HTML0"/>
    <w:uiPriority w:val="99"/>
    <w:rsid w:val="00125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25D9F"/>
    <w:rPr>
      <w:rFonts w:ascii="Courier New" w:eastAsia="Calibri" w:hAnsi="Courier New" w:cs="Times New Roman"/>
      <w:sz w:val="20"/>
      <w:szCs w:val="20"/>
      <w:lang w:eastAsia="ru-RU"/>
    </w:rPr>
  </w:style>
  <w:style w:type="numbering" w:customStyle="1" w:styleId="11">
    <w:name w:val="Нет списка1"/>
    <w:next w:val="a2"/>
    <w:uiPriority w:val="99"/>
    <w:semiHidden/>
    <w:unhideWhenUsed/>
    <w:rsid w:val="00125D9F"/>
  </w:style>
  <w:style w:type="character" w:customStyle="1" w:styleId="14">
    <w:name w:val="Стиль 14 пт"/>
    <w:rsid w:val="00125D9F"/>
    <w:rPr>
      <w:rFonts w:ascii="Times New Roman" w:hAnsi="Times New Roman"/>
      <w:sz w:val="28"/>
    </w:rPr>
  </w:style>
  <w:style w:type="paragraph" w:styleId="ab">
    <w:name w:val="List Paragraph"/>
    <w:basedOn w:val="a"/>
    <w:uiPriority w:val="34"/>
    <w:qFormat/>
    <w:rsid w:val="00125D9F"/>
    <w:pPr>
      <w:ind w:left="720"/>
      <w:contextualSpacing/>
    </w:pPr>
    <w:rPr>
      <w:rFonts w:eastAsia="Times New Roman"/>
    </w:rPr>
  </w:style>
  <w:style w:type="table" w:styleId="ac">
    <w:name w:val="Table Grid"/>
    <w:basedOn w:val="a1"/>
    <w:uiPriority w:val="39"/>
    <w:rsid w:val="00125D9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
    <w:basedOn w:val="a"/>
    <w:link w:val="ae"/>
    <w:rsid w:val="00125D9F"/>
    <w:pPr>
      <w:spacing w:before="100" w:after="119"/>
    </w:pPr>
    <w:rPr>
      <w:lang w:eastAsia="ar-SA"/>
    </w:rPr>
  </w:style>
  <w:style w:type="character" w:customStyle="1" w:styleId="ae">
    <w:name w:val="Обычный (веб) Знак"/>
    <w:aliases w:val="Обычный (Web)1 Знак"/>
    <w:link w:val="ad"/>
    <w:locked/>
    <w:rsid w:val="00125D9F"/>
    <w:rPr>
      <w:rFonts w:ascii="Times New Roman" w:eastAsia="Calibri" w:hAnsi="Times New Roman" w:cs="Times New Roman"/>
      <w:sz w:val="24"/>
      <w:szCs w:val="24"/>
      <w:lang w:eastAsia="ar-SA"/>
    </w:rPr>
  </w:style>
  <w:style w:type="character" w:customStyle="1" w:styleId="FontStyle32">
    <w:name w:val="Font Style32"/>
    <w:rsid w:val="00125D9F"/>
    <w:rPr>
      <w:rFonts w:ascii="Times New Roman" w:hAnsi="Times New Roman" w:cs="Times New Roman"/>
      <w:sz w:val="22"/>
      <w:szCs w:val="22"/>
    </w:rPr>
  </w:style>
  <w:style w:type="paragraph" w:styleId="2">
    <w:name w:val="Body Text Indent 2"/>
    <w:basedOn w:val="a"/>
    <w:link w:val="20"/>
    <w:semiHidden/>
    <w:rsid w:val="00125D9F"/>
    <w:pPr>
      <w:ind w:firstLine="1440"/>
      <w:jc w:val="both"/>
    </w:pPr>
    <w:rPr>
      <w:rFonts w:eastAsia="Times New Roman"/>
    </w:rPr>
  </w:style>
  <w:style w:type="character" w:customStyle="1" w:styleId="20">
    <w:name w:val="Основной текст с отступом 2 Знак"/>
    <w:basedOn w:val="a0"/>
    <w:link w:val="2"/>
    <w:semiHidden/>
    <w:rsid w:val="00125D9F"/>
    <w:rPr>
      <w:rFonts w:ascii="Times New Roman" w:eastAsia="Times New Roman" w:hAnsi="Times New Roman" w:cs="Times New Roman"/>
      <w:sz w:val="24"/>
      <w:szCs w:val="24"/>
      <w:lang w:eastAsia="ru-RU"/>
    </w:rPr>
  </w:style>
  <w:style w:type="paragraph" w:styleId="af">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12"/>
    <w:uiPriority w:val="99"/>
    <w:rsid w:val="00125D9F"/>
    <w:pPr>
      <w:keepNext/>
      <w:suppressAutoHyphens/>
      <w:overflowPunct w:val="0"/>
      <w:autoSpaceDE w:val="0"/>
      <w:autoSpaceDN w:val="0"/>
      <w:adjustRightInd w:val="0"/>
      <w:textAlignment w:val="baseline"/>
    </w:pPr>
    <w:rPr>
      <w:rFonts w:eastAsia="Times New Roman"/>
      <w:szCs w:val="20"/>
    </w:rPr>
  </w:style>
  <w:style w:type="character" w:customStyle="1" w:styleId="af0">
    <w:name w:val="Основной текст Знак"/>
    <w:basedOn w:val="a0"/>
    <w:uiPriority w:val="99"/>
    <w:semiHidden/>
    <w:rsid w:val="00125D9F"/>
    <w:rPr>
      <w:rFonts w:ascii="Times New Roman" w:eastAsia="Calibri" w:hAnsi="Times New Roman" w:cs="Times New Roman"/>
      <w:sz w:val="24"/>
      <w:szCs w:val="24"/>
      <w:lang w:eastAsia="ru-RU"/>
    </w:rPr>
  </w:style>
  <w:style w:type="character" w:customStyle="1" w:styleId="12">
    <w:name w:val="Основной текст Знак1"/>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f"/>
    <w:uiPriority w:val="99"/>
    <w:locked/>
    <w:rsid w:val="00125D9F"/>
    <w:rPr>
      <w:rFonts w:ascii="Times New Roman" w:eastAsia="Times New Roman" w:hAnsi="Times New Roman" w:cs="Times New Roman"/>
      <w:sz w:val="24"/>
      <w:szCs w:val="20"/>
      <w:lang w:eastAsia="ru-RU"/>
    </w:rPr>
  </w:style>
  <w:style w:type="table" w:customStyle="1" w:styleId="TableGrid">
    <w:name w:val="TableGrid"/>
    <w:rsid w:val="00125D9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osp@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base.garant.ru/711451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f7ee959fd36b5699076b35abf4f52c5c/" TargetMode="External"/><Relationship Id="rId5" Type="http://schemas.openxmlformats.org/officeDocument/2006/relationships/hyperlink" Target="mailto:osp@ro78.fss.ru" TargetMode="External"/><Relationship Id="rId15" Type="http://schemas.openxmlformats.org/officeDocument/2006/relationships/fontTable" Target="fontTable.xml"/><Relationship Id="rId10" Type="http://schemas.openxmlformats.org/officeDocument/2006/relationships/hyperlink" Target="http://base.garant.ru/71145140/53f89421bbdaf741eb2d1ecc4ddb4c33/" TargetMode="External"/><Relationship Id="rId4" Type="http://schemas.openxmlformats.org/officeDocument/2006/relationships/webSettings" Target="webSettings.xml"/><Relationship Id="rId9" Type="http://schemas.openxmlformats.org/officeDocument/2006/relationships/hyperlink" Target="https://www.minstroyrf.ru/docs/13225/" TargetMode="External"/><Relationship Id="rId14" Type="http://schemas.openxmlformats.org/officeDocument/2006/relationships/hyperlink" Target="mailto:tsrfil31@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Рита Александровна</dc:creator>
  <cp:keywords/>
  <dc:description/>
  <cp:lastModifiedBy>Чиченкова Наталья Ипполитовна</cp:lastModifiedBy>
  <cp:revision>8</cp:revision>
  <cp:lastPrinted>2022-03-04T06:30:00Z</cp:lastPrinted>
  <dcterms:created xsi:type="dcterms:W3CDTF">2022-04-29T08:31:00Z</dcterms:created>
  <dcterms:modified xsi:type="dcterms:W3CDTF">2022-06-20T11:24:00Z</dcterms:modified>
</cp:coreProperties>
</file>