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ED" w:rsidRDefault="008118ED" w:rsidP="008118ED">
      <w:pPr>
        <w:tabs>
          <w:tab w:val="left" w:pos="567"/>
          <w:tab w:val="left" w:pos="709"/>
        </w:tabs>
        <w:autoSpaceDE w:val="0"/>
        <w:autoSpaceDN w:val="0"/>
        <w:adjustRightInd w:val="0"/>
        <w:jc w:val="right"/>
        <w:rPr>
          <w:szCs w:val="26"/>
        </w:rPr>
      </w:pPr>
      <w:r w:rsidRPr="00BC2A41">
        <w:rPr>
          <w:szCs w:val="26"/>
        </w:rPr>
        <w:t>Приложение № 1</w:t>
      </w:r>
    </w:p>
    <w:p w:rsidR="008118ED" w:rsidRPr="008118ED" w:rsidRDefault="008118ED" w:rsidP="008118ED">
      <w:pPr>
        <w:tabs>
          <w:tab w:val="left" w:pos="567"/>
          <w:tab w:val="left" w:pos="709"/>
        </w:tabs>
        <w:autoSpaceDE w:val="0"/>
        <w:autoSpaceDN w:val="0"/>
        <w:adjustRightInd w:val="0"/>
        <w:jc w:val="right"/>
        <w:rPr>
          <w:szCs w:val="26"/>
        </w:rPr>
      </w:pPr>
      <w:r w:rsidRPr="00BC2A41">
        <w:rPr>
          <w:szCs w:val="26"/>
        </w:rPr>
        <w:t>к извещению об осуществлении закупки</w:t>
      </w:r>
    </w:p>
    <w:p w:rsidR="008118ED" w:rsidRDefault="008118ED" w:rsidP="00A169DE">
      <w:pPr>
        <w:keepNext/>
        <w:ind w:left="-284" w:right="283" w:firstLine="710"/>
        <w:jc w:val="center"/>
        <w:rPr>
          <w:b/>
        </w:rPr>
      </w:pPr>
      <w:bookmarkStart w:id="0" w:name="_GoBack"/>
      <w:bookmarkEnd w:id="0"/>
    </w:p>
    <w:p w:rsidR="00987AE7" w:rsidRDefault="00987AE7" w:rsidP="00A169DE">
      <w:pPr>
        <w:keepNext/>
        <w:ind w:left="-284" w:right="283" w:firstLine="710"/>
        <w:jc w:val="center"/>
        <w:rPr>
          <w:b/>
        </w:rPr>
      </w:pPr>
      <w:r>
        <w:rPr>
          <w:b/>
        </w:rPr>
        <w:t xml:space="preserve">Описание объекта закупки </w:t>
      </w:r>
    </w:p>
    <w:p w:rsidR="00E53F90" w:rsidRDefault="00987AE7" w:rsidP="00A169DE">
      <w:pPr>
        <w:keepNext/>
        <w:ind w:left="-284" w:right="283" w:firstLine="710"/>
        <w:jc w:val="center"/>
        <w:rPr>
          <w:b/>
        </w:rPr>
      </w:pPr>
      <w:r>
        <w:rPr>
          <w:b/>
        </w:rPr>
        <w:t xml:space="preserve">на выполнение работ по обеспечению </w:t>
      </w:r>
      <w:r w:rsidR="00E53F90">
        <w:rPr>
          <w:b/>
        </w:rPr>
        <w:t>граждан</w:t>
      </w:r>
      <w:r>
        <w:rPr>
          <w:b/>
        </w:rPr>
        <w:t xml:space="preserve"> </w:t>
      </w:r>
    </w:p>
    <w:p w:rsidR="005B5A8B" w:rsidRDefault="00987AE7" w:rsidP="00A169DE">
      <w:pPr>
        <w:keepNext/>
        <w:ind w:left="-284" w:right="283" w:firstLine="710"/>
        <w:jc w:val="center"/>
        <w:rPr>
          <w:b/>
        </w:rPr>
      </w:pPr>
      <w:r>
        <w:rPr>
          <w:b/>
        </w:rPr>
        <w:t>протезами нижних конечностей</w:t>
      </w:r>
    </w:p>
    <w:p w:rsidR="005529CF" w:rsidRDefault="005529CF" w:rsidP="00A169DE">
      <w:pPr>
        <w:keepNext/>
        <w:ind w:left="-284" w:right="283" w:firstLine="710"/>
        <w:jc w:val="center"/>
        <w:rPr>
          <w:b/>
        </w:rPr>
      </w:pPr>
    </w:p>
    <w:p w:rsidR="00E53F90" w:rsidRPr="00252C37" w:rsidRDefault="00E53F90" w:rsidP="00E53F90">
      <w:pPr>
        <w:widowControl w:val="0"/>
        <w:shd w:val="clear" w:color="auto" w:fill="FFFFFF"/>
        <w:ind w:firstLine="709"/>
        <w:jc w:val="both"/>
      </w:pPr>
      <w:r w:rsidRPr="00252C37">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E53F90" w:rsidRPr="00252C37" w:rsidRDefault="00E53F90" w:rsidP="00E53F90">
      <w:pPr>
        <w:widowControl w:val="0"/>
        <w:shd w:val="clear" w:color="auto" w:fill="FFFFFF"/>
        <w:ind w:firstLine="709"/>
        <w:jc w:val="both"/>
      </w:pPr>
      <w:r w:rsidRPr="00252C37">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E53F90" w:rsidRPr="00252C37" w:rsidRDefault="00E53F90" w:rsidP="00E53F90">
      <w:pPr>
        <w:widowControl w:val="0"/>
        <w:shd w:val="clear" w:color="auto" w:fill="FFFFFF"/>
        <w:ind w:firstLine="567"/>
        <w:jc w:val="both"/>
      </w:pPr>
    </w:p>
    <w:p w:rsidR="00E53F90" w:rsidRPr="00252C37" w:rsidRDefault="00E53F90" w:rsidP="00E53F90">
      <w:pPr>
        <w:autoSpaceDE w:val="0"/>
        <w:autoSpaceDN w:val="0"/>
        <w:adjustRightInd w:val="0"/>
        <w:ind w:firstLine="567"/>
        <w:jc w:val="both"/>
      </w:pPr>
      <w:r w:rsidRPr="00252C37">
        <w:rPr>
          <w:b/>
        </w:rPr>
        <w:t>Описание объекта закупки:</w:t>
      </w:r>
      <w:r w:rsidRPr="00252C37">
        <w:t xml:space="preserve"> </w:t>
      </w:r>
    </w:p>
    <w:p w:rsidR="00E53F90" w:rsidRPr="008E6446" w:rsidRDefault="00E53F90" w:rsidP="00E53F90">
      <w:pPr>
        <w:shd w:val="clear" w:color="auto" w:fill="FFFFFF"/>
        <w:ind w:right="45" w:firstLine="586"/>
        <w:jc w:val="both"/>
      </w:pPr>
      <w:r w:rsidRPr="008E6446">
        <w:t>Выполнение работ по обеспечению граждан протезами нижних конечностей.</w:t>
      </w:r>
    </w:p>
    <w:p w:rsidR="00E53F90" w:rsidRPr="008E6446" w:rsidRDefault="00E53F90" w:rsidP="00E53F90">
      <w:pPr>
        <w:shd w:val="clear" w:color="auto" w:fill="FFFFFF"/>
        <w:ind w:right="45" w:firstLine="586"/>
        <w:jc w:val="both"/>
      </w:pPr>
      <w:r w:rsidRPr="008E6446">
        <w:t>Протез нижней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восстановления косметического и (или) функционального дефекта.</w:t>
      </w:r>
    </w:p>
    <w:p w:rsidR="00E53F90" w:rsidRPr="008E6446" w:rsidRDefault="00E53F90" w:rsidP="00E53F90">
      <w:pPr>
        <w:shd w:val="clear" w:color="auto" w:fill="FFFFFF"/>
        <w:ind w:right="45" w:firstLine="586"/>
        <w:jc w:val="both"/>
      </w:pPr>
      <w:r w:rsidRPr="008E6446">
        <w:t xml:space="preserve">В соответствии с Национальным стандартом Российской Федерации ГОСТ Р ИСО 22523-2007 «Протезы конечностей и </w:t>
      </w:r>
      <w:proofErr w:type="spellStart"/>
      <w:r w:rsidRPr="008E6446">
        <w:t>ортезы</w:t>
      </w:r>
      <w:proofErr w:type="spellEnd"/>
      <w:r w:rsidRPr="008E6446">
        <w:t xml:space="preserve"> наружные. Требования и методы испытаний» протез – это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неполноценного сегмента нижней конечности.</w:t>
      </w:r>
    </w:p>
    <w:p w:rsidR="00E53F90" w:rsidRPr="008E6446" w:rsidRDefault="00E53F90" w:rsidP="00E53F90">
      <w:pPr>
        <w:shd w:val="clear" w:color="auto" w:fill="FFFFFF"/>
        <w:ind w:right="45" w:firstLine="586"/>
        <w:jc w:val="both"/>
      </w:pPr>
      <w:r w:rsidRPr="008E6446">
        <w:t>Работы по обеспечению граждан протезами нижних конечностей предусматривают индивидуальное изготовление, обучение пользованию и выдачу технического средства реабилитации.</w:t>
      </w:r>
    </w:p>
    <w:p w:rsidR="00E53F90" w:rsidRPr="008E6446" w:rsidRDefault="00E53F90" w:rsidP="00E53F90">
      <w:pPr>
        <w:shd w:val="clear" w:color="auto" w:fill="FFFFFF"/>
        <w:ind w:right="45" w:firstLine="586"/>
        <w:jc w:val="both"/>
      </w:pPr>
      <w:r w:rsidRPr="008E6446">
        <w:t>Протезы должны соответствовать требованиям Межгосударственных стандартов ГОСТ ISO 10993-1-2021, ГОСТ ISO 10993-5-2011, ГОСТ ISO 10993-10-2011 «Изделия медицинские. Оценка биологического действия медицинских изделий».</w:t>
      </w:r>
    </w:p>
    <w:p w:rsidR="00E53F90" w:rsidRPr="008E6446" w:rsidRDefault="00E53F90" w:rsidP="00E53F90">
      <w:pPr>
        <w:shd w:val="clear" w:color="auto" w:fill="FFFFFF"/>
        <w:ind w:right="45" w:firstLine="567"/>
        <w:jc w:val="both"/>
      </w:pPr>
      <w:r w:rsidRPr="008E6446">
        <w:t>Для наиболее полного удовлетворения потребностей</w:t>
      </w:r>
      <w:r w:rsidRPr="008E6446">
        <w:rPr>
          <w:spacing w:val="3"/>
        </w:rPr>
        <w:t xml:space="preserve"> Получателей</w:t>
      </w:r>
      <w:r w:rsidRPr="008E6446">
        <w:t xml:space="preserve">, а также для получения максимального реабилитационного эффекта, учитывая рекомендации медико-технического заключения, выполняемые работы должны включать в себя обеспечение протезами со следующими характеристиками: </w:t>
      </w:r>
    </w:p>
    <w:tbl>
      <w:tblPr>
        <w:tblStyle w:val="a3"/>
        <w:tblW w:w="0" w:type="auto"/>
        <w:tblLook w:val="04A0" w:firstRow="1" w:lastRow="0" w:firstColumn="1" w:lastColumn="0" w:noHBand="0" w:noVBand="1"/>
      </w:tblPr>
      <w:tblGrid>
        <w:gridCol w:w="560"/>
        <w:gridCol w:w="2178"/>
        <w:gridCol w:w="5559"/>
        <w:gridCol w:w="990"/>
      </w:tblGrid>
      <w:tr w:rsidR="00E53F90" w:rsidRPr="007B156C" w:rsidTr="005734A0">
        <w:tc>
          <w:tcPr>
            <w:tcW w:w="561" w:type="dxa"/>
          </w:tcPr>
          <w:p w:rsidR="00E53F90" w:rsidRPr="00F57181" w:rsidRDefault="00E53F90" w:rsidP="005734A0">
            <w:pPr>
              <w:jc w:val="center"/>
              <w:outlineLvl w:val="0"/>
              <w:rPr>
                <w:b/>
                <w:sz w:val="22"/>
                <w:szCs w:val="22"/>
              </w:rPr>
            </w:pPr>
            <w:r w:rsidRPr="00F57181">
              <w:rPr>
                <w:b/>
                <w:sz w:val="22"/>
                <w:szCs w:val="22"/>
              </w:rPr>
              <w:t>№ п/п</w:t>
            </w:r>
          </w:p>
        </w:tc>
        <w:tc>
          <w:tcPr>
            <w:tcW w:w="2180" w:type="dxa"/>
          </w:tcPr>
          <w:p w:rsidR="00E53F90" w:rsidRPr="00F57181" w:rsidRDefault="00E53F90" w:rsidP="005734A0">
            <w:pPr>
              <w:jc w:val="center"/>
              <w:outlineLvl w:val="0"/>
              <w:rPr>
                <w:b/>
                <w:sz w:val="22"/>
                <w:szCs w:val="22"/>
              </w:rPr>
            </w:pPr>
            <w:r w:rsidRPr="00F57181">
              <w:rPr>
                <w:b/>
                <w:sz w:val="22"/>
                <w:szCs w:val="22"/>
              </w:rPr>
              <w:t>Наименование ТСР в соответствии с Классификацией № 86н от 13.02. 2018 г./ наименование по коду КТРУ, код КТРУ/ ОКПД2</w:t>
            </w:r>
          </w:p>
        </w:tc>
        <w:tc>
          <w:tcPr>
            <w:tcW w:w="5589" w:type="dxa"/>
          </w:tcPr>
          <w:p w:rsidR="00E53F90" w:rsidRPr="00F57181" w:rsidRDefault="00E53F90" w:rsidP="005734A0">
            <w:pPr>
              <w:jc w:val="center"/>
              <w:outlineLvl w:val="0"/>
              <w:rPr>
                <w:b/>
                <w:sz w:val="22"/>
                <w:szCs w:val="22"/>
              </w:rPr>
            </w:pPr>
            <w:r w:rsidRPr="00F57181">
              <w:rPr>
                <w:b/>
                <w:sz w:val="22"/>
                <w:szCs w:val="22"/>
              </w:rPr>
              <w:t>Технические и функциональные характеристики Товара</w:t>
            </w:r>
          </w:p>
        </w:tc>
        <w:tc>
          <w:tcPr>
            <w:tcW w:w="992" w:type="dxa"/>
          </w:tcPr>
          <w:p w:rsidR="00E53F90" w:rsidRPr="00F57181" w:rsidRDefault="00E53F90" w:rsidP="005734A0">
            <w:pPr>
              <w:widowControl w:val="0"/>
              <w:jc w:val="center"/>
              <w:rPr>
                <w:b/>
                <w:sz w:val="22"/>
                <w:szCs w:val="22"/>
              </w:rPr>
            </w:pPr>
            <w:r w:rsidRPr="00F57181">
              <w:rPr>
                <w:b/>
                <w:sz w:val="22"/>
                <w:szCs w:val="22"/>
              </w:rPr>
              <w:t>Кол-во (шт.)</w:t>
            </w:r>
          </w:p>
          <w:p w:rsidR="00E53F90" w:rsidRPr="00F57181" w:rsidRDefault="00E53F90" w:rsidP="005734A0">
            <w:pPr>
              <w:widowControl w:val="0"/>
              <w:jc w:val="center"/>
              <w:rPr>
                <w:b/>
                <w:sz w:val="22"/>
                <w:szCs w:val="22"/>
              </w:rPr>
            </w:pPr>
          </w:p>
          <w:p w:rsidR="00E53F90" w:rsidRPr="00F57181" w:rsidRDefault="00E53F90" w:rsidP="005734A0">
            <w:pPr>
              <w:jc w:val="center"/>
              <w:outlineLvl w:val="0"/>
              <w:rPr>
                <w:b/>
                <w:sz w:val="22"/>
                <w:szCs w:val="22"/>
              </w:rPr>
            </w:pP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t>1</w:t>
            </w:r>
          </w:p>
        </w:tc>
        <w:tc>
          <w:tcPr>
            <w:tcW w:w="2180" w:type="dxa"/>
          </w:tcPr>
          <w:p w:rsidR="00E53F90" w:rsidRPr="00A25C13" w:rsidRDefault="00E53F90" w:rsidP="005734A0">
            <w:pPr>
              <w:jc w:val="center"/>
              <w:rPr>
                <w:sz w:val="22"/>
                <w:szCs w:val="22"/>
              </w:rPr>
            </w:pPr>
            <w:r w:rsidRPr="00A25C13">
              <w:rPr>
                <w:sz w:val="22"/>
                <w:szCs w:val="22"/>
              </w:rPr>
              <w:t>8-07-06</w:t>
            </w:r>
          </w:p>
          <w:p w:rsidR="00E53F90" w:rsidRPr="00A25C13" w:rsidRDefault="00E53F90" w:rsidP="005734A0">
            <w:pPr>
              <w:jc w:val="center"/>
              <w:rPr>
                <w:sz w:val="22"/>
                <w:szCs w:val="22"/>
              </w:rPr>
            </w:pPr>
            <w:r w:rsidRPr="00A25C13">
              <w:rPr>
                <w:sz w:val="22"/>
                <w:szCs w:val="22"/>
              </w:rPr>
              <w:t xml:space="preserve">Протез </w:t>
            </w:r>
            <w:r w:rsidRPr="00A25C13">
              <w:rPr>
                <w:b/>
                <w:sz w:val="22"/>
                <w:szCs w:val="22"/>
              </w:rPr>
              <w:t>голени немодульный</w:t>
            </w:r>
            <w:r w:rsidRPr="00A25C13">
              <w:rPr>
                <w:sz w:val="22"/>
                <w:szCs w:val="22"/>
              </w:rPr>
              <w:t xml:space="preserve">, в </w:t>
            </w:r>
            <w:r w:rsidRPr="00A25C13">
              <w:rPr>
                <w:sz w:val="22"/>
                <w:szCs w:val="22"/>
              </w:rPr>
              <w:lastRenderedPageBreak/>
              <w:t>том числе при врожденном недоразвитии</w:t>
            </w:r>
          </w:p>
          <w:p w:rsidR="00E53F90" w:rsidRPr="00A25C13" w:rsidRDefault="00E53F90" w:rsidP="005734A0">
            <w:pPr>
              <w:jc w:val="center"/>
              <w:rPr>
                <w:sz w:val="22"/>
                <w:szCs w:val="22"/>
              </w:rPr>
            </w:pPr>
            <w:r w:rsidRPr="00A25C13">
              <w:rPr>
                <w:sz w:val="22"/>
                <w:szCs w:val="22"/>
              </w:rPr>
              <w:t>32.50.22.121</w:t>
            </w:r>
          </w:p>
          <w:p w:rsidR="00E53F90" w:rsidRPr="007B156C" w:rsidRDefault="00E53F90" w:rsidP="005734A0">
            <w:pPr>
              <w:jc w:val="center"/>
              <w:outlineLvl w:val="0"/>
              <w:rPr>
                <w:b/>
                <w:sz w:val="22"/>
                <w:szCs w:val="22"/>
              </w:rPr>
            </w:pPr>
          </w:p>
        </w:tc>
        <w:tc>
          <w:tcPr>
            <w:tcW w:w="5589" w:type="dxa"/>
          </w:tcPr>
          <w:p w:rsidR="00E53F90" w:rsidRPr="007B156C" w:rsidRDefault="00E53F90" w:rsidP="005734A0">
            <w:pPr>
              <w:jc w:val="both"/>
              <w:outlineLvl w:val="0"/>
              <w:rPr>
                <w:b/>
                <w:sz w:val="22"/>
                <w:szCs w:val="22"/>
              </w:rPr>
            </w:pPr>
            <w:r w:rsidRPr="00A25C13">
              <w:rPr>
                <w:sz w:val="22"/>
                <w:szCs w:val="22"/>
              </w:rPr>
              <w:lastRenderedPageBreak/>
              <w:t xml:space="preserve">Протез голени немодульный, в том числе при врожденном недоразвитии. Формообразующая часть косметической облицовки – листовой поролон. </w:t>
            </w:r>
            <w:r w:rsidRPr="00A25C13">
              <w:rPr>
                <w:sz w:val="22"/>
                <w:szCs w:val="22"/>
              </w:rPr>
              <w:lastRenderedPageBreak/>
              <w:t xml:space="preserve">Косметическое покрытие облицовки: чулки ортопедические </w:t>
            </w:r>
            <w:proofErr w:type="spellStart"/>
            <w:r w:rsidRPr="00A25C13">
              <w:rPr>
                <w:sz w:val="22"/>
                <w:szCs w:val="22"/>
              </w:rPr>
              <w:t>силоновые</w:t>
            </w:r>
            <w:proofErr w:type="spellEnd"/>
            <w:r w:rsidRPr="00A25C13">
              <w:rPr>
                <w:sz w:val="22"/>
                <w:szCs w:val="22"/>
              </w:rPr>
              <w:t xml:space="preserve">, чулки </w:t>
            </w:r>
            <w:proofErr w:type="spellStart"/>
            <w:r w:rsidRPr="00A25C13">
              <w:rPr>
                <w:sz w:val="22"/>
                <w:szCs w:val="22"/>
              </w:rPr>
              <w:t>перлоновые</w:t>
            </w:r>
            <w:proofErr w:type="spellEnd"/>
            <w:r w:rsidRPr="00A25C13">
              <w:rPr>
                <w:sz w:val="22"/>
                <w:szCs w:val="22"/>
              </w:rPr>
              <w:t xml:space="preserve"> ортопедические. Приёмная гильза индивидуальная (изготовленная по культе пациента). Количество приемных гильз - одна. Материал приемной гильзы: кожа. Крепление протеза с использованием гильзы бедра и голени (с металлическими шинами) и кожаных полуфабрикатов. Стопа </w:t>
            </w:r>
            <w:proofErr w:type="spellStart"/>
            <w:r w:rsidRPr="00A25C13">
              <w:rPr>
                <w:sz w:val="22"/>
                <w:szCs w:val="22"/>
              </w:rPr>
              <w:t>бесшарнирная</w:t>
            </w:r>
            <w:proofErr w:type="spellEnd"/>
            <w:r w:rsidRPr="00A25C13">
              <w:rPr>
                <w:sz w:val="22"/>
                <w:szCs w:val="22"/>
              </w:rPr>
              <w:t xml:space="preserve"> полиуретановая, монолитная.  Тип протеза: постоянный.</w:t>
            </w:r>
          </w:p>
        </w:tc>
        <w:tc>
          <w:tcPr>
            <w:tcW w:w="992" w:type="dxa"/>
          </w:tcPr>
          <w:p w:rsidR="00E53F90" w:rsidRPr="007B156C" w:rsidRDefault="00E53F90" w:rsidP="005734A0">
            <w:pPr>
              <w:jc w:val="center"/>
              <w:outlineLvl w:val="0"/>
              <w:rPr>
                <w:sz w:val="22"/>
                <w:szCs w:val="22"/>
              </w:rPr>
            </w:pPr>
            <w:r>
              <w:rPr>
                <w:sz w:val="22"/>
                <w:szCs w:val="22"/>
              </w:rPr>
              <w:lastRenderedPageBreak/>
              <w:t>2</w:t>
            </w: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lastRenderedPageBreak/>
              <w:t>2</w:t>
            </w:r>
          </w:p>
        </w:tc>
        <w:tc>
          <w:tcPr>
            <w:tcW w:w="2180" w:type="dxa"/>
          </w:tcPr>
          <w:p w:rsidR="00E53F90" w:rsidRPr="00A25C13" w:rsidRDefault="00E53F90" w:rsidP="005734A0">
            <w:pPr>
              <w:jc w:val="center"/>
              <w:rPr>
                <w:sz w:val="22"/>
                <w:szCs w:val="22"/>
              </w:rPr>
            </w:pPr>
            <w:r w:rsidRPr="00A25C13">
              <w:rPr>
                <w:sz w:val="22"/>
                <w:szCs w:val="22"/>
              </w:rPr>
              <w:t>8-07-09</w:t>
            </w:r>
          </w:p>
          <w:p w:rsidR="00E53F90" w:rsidRPr="00A25C13" w:rsidRDefault="00E53F90" w:rsidP="005734A0">
            <w:pPr>
              <w:jc w:val="center"/>
              <w:rPr>
                <w:sz w:val="22"/>
                <w:szCs w:val="22"/>
              </w:rPr>
            </w:pPr>
            <w:r w:rsidRPr="00A25C13">
              <w:rPr>
                <w:sz w:val="22"/>
                <w:szCs w:val="22"/>
              </w:rPr>
              <w:t xml:space="preserve">Протез </w:t>
            </w:r>
            <w:r w:rsidRPr="00A25C13">
              <w:rPr>
                <w:b/>
                <w:sz w:val="22"/>
                <w:szCs w:val="22"/>
              </w:rPr>
              <w:t>голени модульный</w:t>
            </w:r>
            <w:r w:rsidRPr="00A25C13">
              <w:rPr>
                <w:sz w:val="22"/>
                <w:szCs w:val="22"/>
              </w:rPr>
              <w:t>, в том числе при недоразвитии (комплектация 1)</w:t>
            </w:r>
          </w:p>
          <w:p w:rsidR="00E53F90" w:rsidRPr="00A25C13" w:rsidRDefault="00E53F90" w:rsidP="005734A0">
            <w:pPr>
              <w:jc w:val="center"/>
              <w:rPr>
                <w:sz w:val="22"/>
                <w:szCs w:val="22"/>
              </w:rPr>
            </w:pPr>
            <w:r w:rsidRPr="00A25C13">
              <w:rPr>
                <w:sz w:val="22"/>
                <w:szCs w:val="22"/>
              </w:rPr>
              <w:t>32.50.22.121</w:t>
            </w:r>
          </w:p>
          <w:p w:rsidR="00E53F90" w:rsidRPr="007B156C" w:rsidRDefault="00E53F90" w:rsidP="005734A0">
            <w:pPr>
              <w:jc w:val="both"/>
              <w:outlineLvl w:val="0"/>
              <w:rPr>
                <w:b/>
                <w:sz w:val="22"/>
                <w:szCs w:val="22"/>
              </w:rPr>
            </w:pPr>
          </w:p>
        </w:tc>
        <w:tc>
          <w:tcPr>
            <w:tcW w:w="5589" w:type="dxa"/>
          </w:tcPr>
          <w:p w:rsidR="00E53F90" w:rsidRPr="007B156C" w:rsidRDefault="00E53F90" w:rsidP="005734A0">
            <w:pPr>
              <w:jc w:val="both"/>
              <w:outlineLvl w:val="0"/>
              <w:rPr>
                <w:b/>
                <w:sz w:val="22"/>
                <w:szCs w:val="22"/>
              </w:rPr>
            </w:pPr>
            <w:r w:rsidRPr="00A25C13">
              <w:rPr>
                <w:sz w:val="22"/>
                <w:szCs w:val="22"/>
              </w:rPr>
              <w:t xml:space="preserve">Протез голени модульный, в том числе при недоразвитии. Протез голени модульный, в том числе при недоразвитии, низкого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A25C13">
                <w:rPr>
                  <w:sz w:val="22"/>
                  <w:szCs w:val="22"/>
                </w:rPr>
                <w:t>100 кг</w:t>
              </w:r>
            </w:smartTag>
            <w:r w:rsidRPr="00A25C13">
              <w:rPr>
                <w:sz w:val="22"/>
                <w:szCs w:val="22"/>
              </w:rPr>
              <w:t xml:space="preserve"> (включительно). Стопы для </w:t>
            </w:r>
            <w:r>
              <w:rPr>
                <w:sz w:val="22"/>
                <w:szCs w:val="22"/>
              </w:rPr>
              <w:t>граждан</w:t>
            </w:r>
            <w:r w:rsidRPr="00A25C13">
              <w:rPr>
                <w:sz w:val="22"/>
                <w:szCs w:val="22"/>
              </w:rPr>
              <w:t xml:space="preserve"> с низким уровнем активности: стопа </w:t>
            </w:r>
            <w:proofErr w:type="spellStart"/>
            <w:r w:rsidRPr="00A25C13">
              <w:rPr>
                <w:sz w:val="22"/>
                <w:szCs w:val="22"/>
              </w:rPr>
              <w:t>бесшарнирная</w:t>
            </w:r>
            <w:proofErr w:type="spellEnd"/>
            <w:r w:rsidRPr="00A25C13">
              <w:rPr>
                <w:sz w:val="22"/>
                <w:szCs w:val="22"/>
              </w:rPr>
              <w:t xml:space="preserve"> полиуретановая монолитная, стопа шарнирная полиуретановая монолитная. Крепление с использованием кожаной гильзы бедра, кожаных полуфабрикатов. Тип протеза: постоянный.</w:t>
            </w:r>
          </w:p>
        </w:tc>
        <w:tc>
          <w:tcPr>
            <w:tcW w:w="992" w:type="dxa"/>
          </w:tcPr>
          <w:p w:rsidR="00E53F90" w:rsidRPr="007B156C" w:rsidRDefault="00E53F90" w:rsidP="005734A0">
            <w:pPr>
              <w:jc w:val="center"/>
              <w:outlineLvl w:val="0"/>
              <w:rPr>
                <w:sz w:val="22"/>
                <w:szCs w:val="22"/>
              </w:rPr>
            </w:pPr>
            <w:r>
              <w:rPr>
                <w:sz w:val="22"/>
                <w:szCs w:val="22"/>
              </w:rPr>
              <w:t>15</w:t>
            </w: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t>3</w:t>
            </w:r>
          </w:p>
        </w:tc>
        <w:tc>
          <w:tcPr>
            <w:tcW w:w="2180" w:type="dxa"/>
          </w:tcPr>
          <w:p w:rsidR="00E53F90" w:rsidRPr="00A25C13" w:rsidRDefault="00E53F90" w:rsidP="005734A0">
            <w:pPr>
              <w:jc w:val="center"/>
              <w:rPr>
                <w:sz w:val="22"/>
                <w:szCs w:val="22"/>
              </w:rPr>
            </w:pPr>
            <w:r w:rsidRPr="00A25C13">
              <w:rPr>
                <w:sz w:val="22"/>
                <w:szCs w:val="22"/>
              </w:rPr>
              <w:t>8-07-09</w:t>
            </w:r>
          </w:p>
          <w:p w:rsidR="00E53F90" w:rsidRPr="00A25C13" w:rsidRDefault="00E53F90" w:rsidP="005734A0">
            <w:pPr>
              <w:jc w:val="center"/>
              <w:rPr>
                <w:sz w:val="22"/>
                <w:szCs w:val="22"/>
              </w:rPr>
            </w:pPr>
            <w:r w:rsidRPr="00A25C13">
              <w:rPr>
                <w:sz w:val="22"/>
                <w:szCs w:val="22"/>
              </w:rPr>
              <w:t xml:space="preserve">Протез </w:t>
            </w:r>
            <w:r w:rsidRPr="00A25C13">
              <w:rPr>
                <w:b/>
                <w:sz w:val="22"/>
                <w:szCs w:val="22"/>
              </w:rPr>
              <w:t>голени модульный</w:t>
            </w:r>
            <w:r w:rsidRPr="00A25C13">
              <w:rPr>
                <w:sz w:val="22"/>
                <w:szCs w:val="22"/>
              </w:rPr>
              <w:t>, в том числе при недоразвитии (комплектация 2)</w:t>
            </w:r>
          </w:p>
          <w:p w:rsidR="00E53F90" w:rsidRPr="00A25C13" w:rsidRDefault="00E53F90" w:rsidP="005734A0">
            <w:pPr>
              <w:jc w:val="center"/>
              <w:rPr>
                <w:sz w:val="22"/>
                <w:szCs w:val="22"/>
              </w:rPr>
            </w:pPr>
            <w:r w:rsidRPr="00A25C13">
              <w:rPr>
                <w:sz w:val="22"/>
                <w:szCs w:val="22"/>
              </w:rPr>
              <w:t>32.50.22.121</w:t>
            </w:r>
          </w:p>
          <w:p w:rsidR="00E53F90" w:rsidRPr="007B156C" w:rsidRDefault="00E53F90" w:rsidP="005734A0">
            <w:pPr>
              <w:jc w:val="center"/>
              <w:outlineLvl w:val="0"/>
              <w:rPr>
                <w:b/>
                <w:sz w:val="22"/>
                <w:szCs w:val="22"/>
              </w:rPr>
            </w:pPr>
          </w:p>
        </w:tc>
        <w:tc>
          <w:tcPr>
            <w:tcW w:w="5589" w:type="dxa"/>
          </w:tcPr>
          <w:p w:rsidR="00E53F90" w:rsidRPr="007B156C" w:rsidRDefault="00E53F90" w:rsidP="005734A0">
            <w:pPr>
              <w:jc w:val="both"/>
              <w:outlineLvl w:val="0"/>
              <w:rPr>
                <w:b/>
                <w:sz w:val="22"/>
                <w:szCs w:val="22"/>
              </w:rPr>
            </w:pPr>
            <w:r w:rsidRPr="00A25C13">
              <w:rPr>
                <w:sz w:val="22"/>
                <w:szCs w:val="22"/>
              </w:rPr>
              <w:t xml:space="preserve">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A25C13">
                <w:rPr>
                  <w:sz w:val="22"/>
                  <w:szCs w:val="22"/>
                </w:rPr>
                <w:t>100 кг</w:t>
              </w:r>
            </w:smartTag>
            <w:r w:rsidRPr="00A25C13">
              <w:rPr>
                <w:sz w:val="22"/>
                <w:szCs w:val="22"/>
              </w:rPr>
              <w:t xml:space="preserve"> (включительно). Стопы для </w:t>
            </w:r>
            <w:r>
              <w:rPr>
                <w:sz w:val="22"/>
                <w:szCs w:val="22"/>
              </w:rPr>
              <w:t>граждан</w:t>
            </w:r>
            <w:r w:rsidRPr="00A25C13">
              <w:rPr>
                <w:sz w:val="22"/>
                <w:szCs w:val="22"/>
              </w:rPr>
              <w:t xml:space="preserve"> со средним уровнем активности: стопа </w:t>
            </w:r>
            <w:proofErr w:type="spellStart"/>
            <w:r w:rsidRPr="00A25C13">
              <w:rPr>
                <w:sz w:val="22"/>
                <w:szCs w:val="22"/>
              </w:rPr>
              <w:t>бесшарнирная</w:t>
            </w:r>
            <w:proofErr w:type="spellEnd"/>
            <w:r w:rsidRPr="00A25C13">
              <w:rPr>
                <w:sz w:val="22"/>
                <w:szCs w:val="22"/>
              </w:rPr>
              <w:t xml:space="preserve"> полиуретановая монолитная, стопа шарнирная полиуретановая монолитная. Крепление с использованием кожаной гильзы бедра, кожаных полуфабрикатов или наколенника. Тип протеза: постоянный.</w:t>
            </w:r>
          </w:p>
        </w:tc>
        <w:tc>
          <w:tcPr>
            <w:tcW w:w="992" w:type="dxa"/>
          </w:tcPr>
          <w:p w:rsidR="00E53F90" w:rsidRPr="007B156C" w:rsidRDefault="00E53F90" w:rsidP="005734A0">
            <w:pPr>
              <w:jc w:val="center"/>
              <w:outlineLvl w:val="0"/>
              <w:rPr>
                <w:sz w:val="22"/>
                <w:szCs w:val="22"/>
              </w:rPr>
            </w:pPr>
            <w:r>
              <w:rPr>
                <w:sz w:val="22"/>
                <w:szCs w:val="22"/>
              </w:rPr>
              <w:t>28</w:t>
            </w: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t>4</w:t>
            </w:r>
          </w:p>
        </w:tc>
        <w:tc>
          <w:tcPr>
            <w:tcW w:w="2180" w:type="dxa"/>
          </w:tcPr>
          <w:p w:rsidR="00E53F90" w:rsidRPr="00A25C13" w:rsidRDefault="00E53F90" w:rsidP="005734A0">
            <w:pPr>
              <w:jc w:val="center"/>
              <w:rPr>
                <w:sz w:val="22"/>
                <w:szCs w:val="22"/>
              </w:rPr>
            </w:pPr>
            <w:r w:rsidRPr="00A25C13">
              <w:rPr>
                <w:sz w:val="22"/>
                <w:szCs w:val="22"/>
              </w:rPr>
              <w:t>8-07-09</w:t>
            </w:r>
          </w:p>
          <w:p w:rsidR="00E53F90" w:rsidRPr="00A25C13" w:rsidRDefault="00E53F90" w:rsidP="005734A0">
            <w:pPr>
              <w:jc w:val="center"/>
              <w:rPr>
                <w:sz w:val="22"/>
                <w:szCs w:val="22"/>
              </w:rPr>
            </w:pPr>
            <w:r w:rsidRPr="00A25C13">
              <w:rPr>
                <w:sz w:val="22"/>
                <w:szCs w:val="22"/>
              </w:rPr>
              <w:t xml:space="preserve">Протез </w:t>
            </w:r>
            <w:r w:rsidRPr="00A25C13">
              <w:rPr>
                <w:b/>
                <w:sz w:val="22"/>
                <w:szCs w:val="22"/>
              </w:rPr>
              <w:t>голени модульный</w:t>
            </w:r>
            <w:r w:rsidRPr="00A25C13">
              <w:rPr>
                <w:sz w:val="22"/>
                <w:szCs w:val="22"/>
              </w:rPr>
              <w:t>, в том числе при недоразвитии (комплектация 3)</w:t>
            </w:r>
          </w:p>
          <w:p w:rsidR="00E53F90" w:rsidRPr="00A25C13" w:rsidRDefault="00E53F90" w:rsidP="005734A0">
            <w:pPr>
              <w:jc w:val="center"/>
              <w:rPr>
                <w:sz w:val="22"/>
                <w:szCs w:val="22"/>
              </w:rPr>
            </w:pPr>
            <w:r w:rsidRPr="00A25C13">
              <w:rPr>
                <w:sz w:val="22"/>
                <w:szCs w:val="22"/>
              </w:rPr>
              <w:t>32.50.22.121</w:t>
            </w:r>
          </w:p>
          <w:p w:rsidR="00E53F90" w:rsidRPr="007B156C" w:rsidRDefault="00E53F90" w:rsidP="005734A0">
            <w:pPr>
              <w:jc w:val="both"/>
              <w:outlineLvl w:val="0"/>
              <w:rPr>
                <w:b/>
                <w:sz w:val="22"/>
                <w:szCs w:val="22"/>
              </w:rPr>
            </w:pPr>
          </w:p>
        </w:tc>
        <w:tc>
          <w:tcPr>
            <w:tcW w:w="5589" w:type="dxa"/>
          </w:tcPr>
          <w:p w:rsidR="00E53F90" w:rsidRPr="007B156C" w:rsidRDefault="00E53F90" w:rsidP="005734A0">
            <w:pPr>
              <w:jc w:val="both"/>
              <w:outlineLvl w:val="0"/>
              <w:rPr>
                <w:b/>
                <w:sz w:val="22"/>
                <w:szCs w:val="22"/>
              </w:rPr>
            </w:pPr>
            <w:r w:rsidRPr="00A25C13">
              <w:rPr>
                <w:sz w:val="22"/>
                <w:szCs w:val="22"/>
              </w:rPr>
              <w:t xml:space="preserve">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Стопа для </w:t>
            </w:r>
            <w:r>
              <w:rPr>
                <w:sz w:val="22"/>
                <w:szCs w:val="22"/>
              </w:rPr>
              <w:t>граждан</w:t>
            </w:r>
            <w:r w:rsidRPr="00A25C13">
              <w:rPr>
                <w:sz w:val="22"/>
                <w:szCs w:val="22"/>
              </w:rPr>
              <w:t xml:space="preserve"> с низким и среднем уровнем активности: стопа </w:t>
            </w:r>
            <w:proofErr w:type="spellStart"/>
            <w:r w:rsidRPr="00A25C13">
              <w:rPr>
                <w:sz w:val="22"/>
                <w:szCs w:val="22"/>
              </w:rPr>
              <w:t>бесшарнирная</w:t>
            </w:r>
            <w:proofErr w:type="spellEnd"/>
            <w:r w:rsidRPr="00A25C13">
              <w:rPr>
                <w:sz w:val="22"/>
                <w:szCs w:val="22"/>
              </w:rPr>
              <w:t xml:space="preserve"> полиуретановая монолитная, стопа шарнирная полиуретановая монолитная. Крепление протеза с использованием замка для полимерных </w:t>
            </w:r>
            <w:r w:rsidRPr="00A25C13">
              <w:rPr>
                <w:sz w:val="22"/>
                <w:szCs w:val="22"/>
              </w:rPr>
              <w:lastRenderedPageBreak/>
              <w:t>чехлов. Тип протеза: постоянный.</w:t>
            </w:r>
          </w:p>
        </w:tc>
        <w:tc>
          <w:tcPr>
            <w:tcW w:w="992" w:type="dxa"/>
          </w:tcPr>
          <w:p w:rsidR="00E53F90" w:rsidRPr="007B156C" w:rsidRDefault="00E53F90" w:rsidP="005734A0">
            <w:pPr>
              <w:jc w:val="center"/>
              <w:outlineLvl w:val="0"/>
              <w:rPr>
                <w:sz w:val="22"/>
                <w:szCs w:val="22"/>
              </w:rPr>
            </w:pPr>
            <w:r>
              <w:rPr>
                <w:sz w:val="22"/>
                <w:szCs w:val="22"/>
              </w:rPr>
              <w:lastRenderedPageBreak/>
              <w:t>2</w:t>
            </w: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lastRenderedPageBreak/>
              <w:t>5</w:t>
            </w:r>
          </w:p>
        </w:tc>
        <w:tc>
          <w:tcPr>
            <w:tcW w:w="2180" w:type="dxa"/>
          </w:tcPr>
          <w:p w:rsidR="00E53F90" w:rsidRPr="00A25C13" w:rsidRDefault="00E53F90" w:rsidP="005734A0">
            <w:pPr>
              <w:jc w:val="center"/>
              <w:rPr>
                <w:sz w:val="22"/>
                <w:szCs w:val="22"/>
              </w:rPr>
            </w:pPr>
            <w:r w:rsidRPr="00A25C13">
              <w:rPr>
                <w:sz w:val="22"/>
                <w:szCs w:val="22"/>
              </w:rPr>
              <w:t>8-07-04</w:t>
            </w:r>
          </w:p>
          <w:p w:rsidR="00E53F90" w:rsidRPr="00A25C13" w:rsidRDefault="00E53F90" w:rsidP="005734A0">
            <w:pPr>
              <w:jc w:val="center"/>
              <w:rPr>
                <w:b/>
                <w:sz w:val="22"/>
                <w:szCs w:val="22"/>
              </w:rPr>
            </w:pPr>
            <w:r w:rsidRPr="00A25C13">
              <w:rPr>
                <w:sz w:val="22"/>
                <w:szCs w:val="22"/>
              </w:rPr>
              <w:t xml:space="preserve">Протез </w:t>
            </w:r>
            <w:r w:rsidRPr="00A25C13">
              <w:rPr>
                <w:b/>
                <w:sz w:val="22"/>
                <w:szCs w:val="22"/>
              </w:rPr>
              <w:t>голени для купания</w:t>
            </w:r>
          </w:p>
          <w:p w:rsidR="00E53F90" w:rsidRPr="00A25C13" w:rsidRDefault="00E53F90" w:rsidP="005734A0">
            <w:pPr>
              <w:jc w:val="center"/>
              <w:rPr>
                <w:sz w:val="22"/>
                <w:szCs w:val="22"/>
              </w:rPr>
            </w:pPr>
            <w:r w:rsidRPr="00A25C13">
              <w:rPr>
                <w:sz w:val="22"/>
                <w:szCs w:val="22"/>
              </w:rPr>
              <w:t>32.50.22.121</w:t>
            </w:r>
          </w:p>
          <w:p w:rsidR="00E53F90" w:rsidRPr="007B156C" w:rsidRDefault="00E53F90" w:rsidP="005734A0">
            <w:pPr>
              <w:jc w:val="center"/>
              <w:outlineLvl w:val="0"/>
              <w:rPr>
                <w:b/>
                <w:sz w:val="22"/>
                <w:szCs w:val="22"/>
              </w:rPr>
            </w:pPr>
          </w:p>
        </w:tc>
        <w:tc>
          <w:tcPr>
            <w:tcW w:w="5589" w:type="dxa"/>
          </w:tcPr>
          <w:p w:rsidR="00E53F90" w:rsidRPr="007B156C" w:rsidRDefault="00E53F90" w:rsidP="005734A0">
            <w:pPr>
              <w:jc w:val="both"/>
              <w:outlineLvl w:val="0"/>
              <w:rPr>
                <w:b/>
                <w:sz w:val="22"/>
                <w:szCs w:val="22"/>
              </w:rPr>
            </w:pPr>
            <w:r w:rsidRPr="00A25C13">
              <w:rPr>
                <w:sz w:val="22"/>
                <w:szCs w:val="22"/>
              </w:rPr>
              <w:t xml:space="preserve">Протез голени для купания.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Вкладная мягкая гильза по слепку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A25C13">
                <w:rPr>
                  <w:sz w:val="22"/>
                  <w:szCs w:val="22"/>
                </w:rPr>
                <w:t>100 кг</w:t>
              </w:r>
            </w:smartTag>
            <w:r w:rsidRPr="00A25C13">
              <w:rPr>
                <w:sz w:val="22"/>
                <w:szCs w:val="22"/>
              </w:rPr>
              <w:t xml:space="preserve">, водостойкие. Стопа </w:t>
            </w:r>
            <w:proofErr w:type="spellStart"/>
            <w:r w:rsidRPr="00A25C13">
              <w:rPr>
                <w:sz w:val="22"/>
                <w:szCs w:val="22"/>
              </w:rPr>
              <w:t>бесшарнирная</w:t>
            </w:r>
            <w:proofErr w:type="spellEnd"/>
            <w:r w:rsidRPr="00A25C13">
              <w:rPr>
                <w:sz w:val="22"/>
                <w:szCs w:val="22"/>
              </w:rPr>
              <w:t xml:space="preserve">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герметизирующим коленным бандажом. Тип протеза: специальный.</w:t>
            </w:r>
          </w:p>
        </w:tc>
        <w:tc>
          <w:tcPr>
            <w:tcW w:w="992" w:type="dxa"/>
          </w:tcPr>
          <w:p w:rsidR="00E53F90" w:rsidRPr="007B156C" w:rsidRDefault="00E53F90" w:rsidP="005734A0">
            <w:pPr>
              <w:jc w:val="center"/>
              <w:outlineLvl w:val="0"/>
              <w:rPr>
                <w:sz w:val="22"/>
                <w:szCs w:val="22"/>
              </w:rPr>
            </w:pPr>
            <w:r>
              <w:rPr>
                <w:sz w:val="22"/>
                <w:szCs w:val="22"/>
              </w:rPr>
              <w:t>20</w:t>
            </w:r>
          </w:p>
        </w:tc>
      </w:tr>
      <w:tr w:rsidR="00E53F90" w:rsidRPr="007B156C" w:rsidTr="005734A0">
        <w:tc>
          <w:tcPr>
            <w:tcW w:w="561" w:type="dxa"/>
          </w:tcPr>
          <w:p w:rsidR="00E53F90" w:rsidRPr="007B156C" w:rsidRDefault="00E53F90" w:rsidP="005734A0">
            <w:pPr>
              <w:jc w:val="center"/>
              <w:outlineLvl w:val="0"/>
              <w:rPr>
                <w:sz w:val="22"/>
                <w:szCs w:val="22"/>
              </w:rPr>
            </w:pPr>
            <w:r>
              <w:rPr>
                <w:sz w:val="22"/>
                <w:szCs w:val="22"/>
              </w:rPr>
              <w:t>6</w:t>
            </w:r>
          </w:p>
        </w:tc>
        <w:tc>
          <w:tcPr>
            <w:tcW w:w="2180" w:type="dxa"/>
          </w:tcPr>
          <w:p w:rsidR="00E53F90" w:rsidRPr="00A25C13" w:rsidRDefault="00E53F90" w:rsidP="005734A0">
            <w:pPr>
              <w:jc w:val="center"/>
              <w:rPr>
                <w:sz w:val="22"/>
                <w:szCs w:val="22"/>
              </w:rPr>
            </w:pPr>
            <w:r w:rsidRPr="00A25C13">
              <w:rPr>
                <w:sz w:val="22"/>
                <w:szCs w:val="22"/>
              </w:rPr>
              <w:t xml:space="preserve">8-07-10 </w:t>
            </w:r>
          </w:p>
          <w:p w:rsidR="00E53F90" w:rsidRPr="00A25C13" w:rsidRDefault="00E53F90" w:rsidP="005734A0">
            <w:pPr>
              <w:jc w:val="center"/>
              <w:rPr>
                <w:sz w:val="22"/>
                <w:szCs w:val="22"/>
              </w:rPr>
            </w:pPr>
            <w:r w:rsidRPr="00A25C13">
              <w:rPr>
                <w:sz w:val="22"/>
                <w:szCs w:val="22"/>
              </w:rPr>
              <w:t xml:space="preserve">Протез </w:t>
            </w:r>
            <w:r w:rsidRPr="00A25C13">
              <w:rPr>
                <w:b/>
                <w:sz w:val="22"/>
                <w:szCs w:val="22"/>
              </w:rPr>
              <w:t>бедра модульный</w:t>
            </w:r>
            <w:r w:rsidRPr="00A25C13">
              <w:rPr>
                <w:sz w:val="22"/>
                <w:szCs w:val="22"/>
              </w:rPr>
              <w:t>, в том числе при врожденном недоразвитии</w:t>
            </w:r>
          </w:p>
          <w:p w:rsidR="00E53F90" w:rsidRPr="007B156C" w:rsidRDefault="00E53F90" w:rsidP="005734A0">
            <w:pPr>
              <w:jc w:val="center"/>
              <w:outlineLvl w:val="0"/>
              <w:rPr>
                <w:b/>
                <w:sz w:val="22"/>
                <w:szCs w:val="22"/>
              </w:rPr>
            </w:pPr>
            <w:r w:rsidRPr="00A25C13">
              <w:rPr>
                <w:sz w:val="22"/>
                <w:szCs w:val="22"/>
              </w:rPr>
              <w:t>32.50.22.121</w:t>
            </w:r>
          </w:p>
        </w:tc>
        <w:tc>
          <w:tcPr>
            <w:tcW w:w="5589" w:type="dxa"/>
          </w:tcPr>
          <w:p w:rsidR="00E53F90" w:rsidRPr="007B156C" w:rsidRDefault="00E53F90" w:rsidP="005734A0">
            <w:pPr>
              <w:jc w:val="both"/>
              <w:outlineLvl w:val="0"/>
              <w:rPr>
                <w:b/>
                <w:sz w:val="22"/>
                <w:szCs w:val="22"/>
              </w:rPr>
            </w:pPr>
            <w:r w:rsidRPr="00A25C13">
              <w:rPr>
                <w:sz w:val="22"/>
                <w:szCs w:val="22"/>
              </w:rPr>
              <w:t xml:space="preserve">Протез бедра модульный, в том числе при врожденном недоразвитии, низкого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или отсутствует (по медицинским показаниям). Регулировочно-соединительные устройства на нагрузку не менее </w:t>
            </w:r>
            <w:smartTag w:uri="urn:schemas-microsoft-com:office:smarttags" w:element="metricconverter">
              <w:smartTagPr>
                <w:attr w:name="ProductID" w:val="100 кг"/>
              </w:smartTagPr>
              <w:r w:rsidRPr="00A25C13">
                <w:rPr>
                  <w:sz w:val="22"/>
                  <w:szCs w:val="22"/>
                </w:rPr>
                <w:t>100 кг</w:t>
              </w:r>
            </w:smartTag>
            <w:r w:rsidRPr="00A25C13">
              <w:rPr>
                <w:sz w:val="22"/>
                <w:szCs w:val="22"/>
              </w:rPr>
              <w:t xml:space="preserve"> (включительно). Коленный шарнир многоосный, с независимым механическим регулированием фазы сгибания и разгибания или одноосный замковый. Стопа </w:t>
            </w:r>
            <w:proofErr w:type="spellStart"/>
            <w:r w:rsidRPr="00A25C13">
              <w:rPr>
                <w:sz w:val="22"/>
                <w:szCs w:val="22"/>
              </w:rPr>
              <w:t>бесшарнирная</w:t>
            </w:r>
            <w:proofErr w:type="spellEnd"/>
            <w:r w:rsidRPr="00A25C13">
              <w:rPr>
                <w:sz w:val="22"/>
                <w:szCs w:val="22"/>
              </w:rPr>
              <w:t xml:space="preserve"> полиуретановая, монолитная, стопа шарнирная полиуретановая, монолитная. Крепление - вакуумный клапан, поясное крепление с использованием кожаных полуфабрикатов или бандажом. Тип протеза: постоянный.</w:t>
            </w:r>
          </w:p>
        </w:tc>
        <w:tc>
          <w:tcPr>
            <w:tcW w:w="992" w:type="dxa"/>
          </w:tcPr>
          <w:p w:rsidR="00E53F90" w:rsidRPr="007B156C" w:rsidRDefault="00E53F90" w:rsidP="005734A0">
            <w:pPr>
              <w:jc w:val="center"/>
              <w:outlineLvl w:val="0"/>
              <w:rPr>
                <w:sz w:val="22"/>
                <w:szCs w:val="22"/>
              </w:rPr>
            </w:pPr>
            <w:r>
              <w:rPr>
                <w:sz w:val="22"/>
                <w:szCs w:val="22"/>
              </w:rPr>
              <w:t>37</w:t>
            </w:r>
          </w:p>
        </w:tc>
      </w:tr>
      <w:tr w:rsidR="00E53F90" w:rsidRPr="007B156C" w:rsidTr="005734A0">
        <w:tc>
          <w:tcPr>
            <w:tcW w:w="561" w:type="dxa"/>
          </w:tcPr>
          <w:p w:rsidR="00E53F90" w:rsidRDefault="00E53F90" w:rsidP="005734A0">
            <w:pPr>
              <w:jc w:val="center"/>
              <w:outlineLvl w:val="0"/>
              <w:rPr>
                <w:sz w:val="22"/>
                <w:szCs w:val="22"/>
              </w:rPr>
            </w:pPr>
            <w:r>
              <w:rPr>
                <w:sz w:val="22"/>
                <w:szCs w:val="22"/>
              </w:rPr>
              <w:t>7</w:t>
            </w:r>
          </w:p>
        </w:tc>
        <w:tc>
          <w:tcPr>
            <w:tcW w:w="2180" w:type="dxa"/>
          </w:tcPr>
          <w:p w:rsidR="00E53F90" w:rsidRPr="00A25C13" w:rsidRDefault="00E53F90" w:rsidP="005734A0">
            <w:pPr>
              <w:jc w:val="center"/>
              <w:rPr>
                <w:sz w:val="22"/>
                <w:szCs w:val="22"/>
              </w:rPr>
            </w:pPr>
            <w:r w:rsidRPr="00A25C13">
              <w:rPr>
                <w:sz w:val="22"/>
                <w:szCs w:val="22"/>
              </w:rPr>
              <w:t>8-07-05</w:t>
            </w:r>
          </w:p>
          <w:p w:rsidR="00E53F90" w:rsidRPr="00A25C13" w:rsidRDefault="00E53F90" w:rsidP="005734A0">
            <w:pPr>
              <w:jc w:val="center"/>
              <w:rPr>
                <w:b/>
                <w:sz w:val="22"/>
                <w:szCs w:val="22"/>
              </w:rPr>
            </w:pPr>
            <w:r w:rsidRPr="00A25C13">
              <w:rPr>
                <w:sz w:val="22"/>
                <w:szCs w:val="22"/>
              </w:rPr>
              <w:t xml:space="preserve">Протез </w:t>
            </w:r>
            <w:r w:rsidRPr="00A25C13">
              <w:rPr>
                <w:b/>
                <w:sz w:val="22"/>
                <w:szCs w:val="22"/>
              </w:rPr>
              <w:t>бедра для купания</w:t>
            </w:r>
          </w:p>
          <w:p w:rsidR="00E53F90" w:rsidRPr="00A25C13" w:rsidRDefault="00E53F90" w:rsidP="005734A0">
            <w:pPr>
              <w:jc w:val="center"/>
              <w:rPr>
                <w:sz w:val="22"/>
                <w:szCs w:val="22"/>
              </w:rPr>
            </w:pPr>
            <w:r w:rsidRPr="00A25C13">
              <w:rPr>
                <w:sz w:val="22"/>
                <w:szCs w:val="22"/>
              </w:rPr>
              <w:t>32.50.22.121</w:t>
            </w:r>
          </w:p>
          <w:p w:rsidR="00E53F90" w:rsidRPr="00A25C13" w:rsidRDefault="00E53F90" w:rsidP="005734A0">
            <w:pPr>
              <w:jc w:val="center"/>
              <w:rPr>
                <w:sz w:val="22"/>
                <w:szCs w:val="22"/>
              </w:rPr>
            </w:pPr>
          </w:p>
        </w:tc>
        <w:tc>
          <w:tcPr>
            <w:tcW w:w="5589" w:type="dxa"/>
          </w:tcPr>
          <w:p w:rsidR="00E53F90" w:rsidRPr="00A25C13" w:rsidRDefault="00E53F90" w:rsidP="005734A0">
            <w:pPr>
              <w:jc w:val="both"/>
              <w:outlineLvl w:val="0"/>
              <w:rPr>
                <w:sz w:val="22"/>
                <w:szCs w:val="22"/>
              </w:rPr>
            </w:pPr>
            <w:r w:rsidRPr="00A25C13">
              <w:rPr>
                <w:sz w:val="22"/>
                <w:szCs w:val="22"/>
              </w:rPr>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Регулировочно-соединительные устройства на нагрузку </w:t>
            </w:r>
            <w:smartTag w:uri="urn:schemas-microsoft-com:office:smarttags" w:element="metricconverter">
              <w:smartTagPr>
                <w:attr w:name="ProductID" w:val="125 кг"/>
              </w:smartTagPr>
              <w:r w:rsidRPr="00A25C13">
                <w:rPr>
                  <w:sz w:val="22"/>
                  <w:szCs w:val="22"/>
                </w:rPr>
                <w:t>125 кг</w:t>
              </w:r>
            </w:smartTag>
            <w:r w:rsidRPr="00A25C13">
              <w:rPr>
                <w:sz w:val="22"/>
                <w:szCs w:val="22"/>
              </w:rPr>
              <w:t xml:space="preserve">, влагостойкие. Коленный шарнир одноосный, облегченный, с функцией ручного замка, влагозащищенный. Стопа </w:t>
            </w:r>
            <w:proofErr w:type="spellStart"/>
            <w:r w:rsidRPr="00A25C13">
              <w:rPr>
                <w:sz w:val="22"/>
                <w:szCs w:val="22"/>
              </w:rPr>
              <w:t>бесшарнирная</w:t>
            </w:r>
            <w:proofErr w:type="spellEnd"/>
            <w:r w:rsidRPr="00A25C13">
              <w:rPr>
                <w:sz w:val="22"/>
                <w:szCs w:val="22"/>
              </w:rPr>
              <w:t xml:space="preserve">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 влагостойкий вакуумный клапан. Тип протеза: специальный.</w:t>
            </w:r>
          </w:p>
        </w:tc>
        <w:tc>
          <w:tcPr>
            <w:tcW w:w="992" w:type="dxa"/>
          </w:tcPr>
          <w:p w:rsidR="00E53F90" w:rsidRDefault="00E53F90" w:rsidP="005734A0">
            <w:pPr>
              <w:jc w:val="center"/>
              <w:outlineLvl w:val="0"/>
              <w:rPr>
                <w:sz w:val="22"/>
                <w:szCs w:val="22"/>
              </w:rPr>
            </w:pPr>
            <w:r>
              <w:rPr>
                <w:sz w:val="22"/>
                <w:szCs w:val="22"/>
              </w:rPr>
              <w:t>15</w:t>
            </w:r>
          </w:p>
        </w:tc>
      </w:tr>
      <w:tr w:rsidR="00E53F90" w:rsidRPr="007B156C" w:rsidTr="005734A0">
        <w:tc>
          <w:tcPr>
            <w:tcW w:w="8330" w:type="dxa"/>
            <w:gridSpan w:val="3"/>
          </w:tcPr>
          <w:p w:rsidR="00E53F90" w:rsidRPr="007B156C" w:rsidRDefault="00E53F90" w:rsidP="005734A0">
            <w:pPr>
              <w:jc w:val="both"/>
              <w:outlineLvl w:val="0"/>
              <w:rPr>
                <w:b/>
                <w:sz w:val="22"/>
                <w:szCs w:val="22"/>
              </w:rPr>
            </w:pPr>
            <w:r>
              <w:rPr>
                <w:b/>
                <w:sz w:val="22"/>
                <w:szCs w:val="22"/>
              </w:rPr>
              <w:t xml:space="preserve">       Итого:</w:t>
            </w:r>
          </w:p>
        </w:tc>
        <w:tc>
          <w:tcPr>
            <w:tcW w:w="992" w:type="dxa"/>
          </w:tcPr>
          <w:p w:rsidR="00E53F90" w:rsidRPr="00F57181" w:rsidRDefault="00E53F90" w:rsidP="005734A0">
            <w:pPr>
              <w:jc w:val="center"/>
              <w:outlineLvl w:val="0"/>
              <w:rPr>
                <w:b/>
                <w:sz w:val="22"/>
                <w:szCs w:val="22"/>
              </w:rPr>
            </w:pPr>
            <w:r>
              <w:rPr>
                <w:b/>
                <w:sz w:val="22"/>
                <w:szCs w:val="22"/>
              </w:rPr>
              <w:t>119</w:t>
            </w:r>
          </w:p>
        </w:tc>
      </w:tr>
    </w:tbl>
    <w:p w:rsidR="00E53F90" w:rsidRPr="008E6446" w:rsidRDefault="00E53F90" w:rsidP="00E53F90">
      <w:pPr>
        <w:tabs>
          <w:tab w:val="left" w:pos="7176"/>
        </w:tabs>
        <w:ind w:right="10" w:firstLine="586"/>
        <w:jc w:val="both"/>
      </w:pPr>
      <w:r w:rsidRPr="008E6446">
        <w:t>Выполняемые работы по обеспечению граждан протезами нижних конечностей должны производиться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w:t>
      </w:r>
    </w:p>
    <w:p w:rsidR="00E53F90" w:rsidRPr="008E6446" w:rsidRDefault="00E53F90" w:rsidP="00E53F90">
      <w:pPr>
        <w:shd w:val="clear" w:color="auto" w:fill="FFFFFF"/>
        <w:tabs>
          <w:tab w:val="left" w:pos="7176"/>
        </w:tabs>
        <w:ind w:right="10" w:firstLine="586"/>
        <w:jc w:val="both"/>
      </w:pPr>
      <w:r w:rsidRPr="008E6446">
        <w:t>Выполнение работ по обеспечению граждан протезами нижних конечностей должно осуществляться Исполнителем лично, без привлечения соисполнителей.</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 xml:space="preserve">Приемные гильзы и крепления протезов не должны вызывать потертостей, сдавливания, ущемления и наплывов мягких тканей, нарушений кровообращения и </w:t>
      </w:r>
      <w:r w:rsidRPr="008E6446">
        <w:rPr>
          <w:rFonts w:ascii="Times New Roman" w:hAnsi="Times New Roman"/>
          <w:sz w:val="24"/>
          <w:szCs w:val="24"/>
        </w:rPr>
        <w:lastRenderedPageBreak/>
        <w:t>болевых ощущений при пользовании изделиями. Приемная гильза протеза должна быть изготовлена по индивидуальным параметрам пациента, и предназначаться для размещения в ней культи или пораженной конечности, обеспечивая взаимодействие человека с протезом конечности.</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Протез должен быть прочным и выдерживать нагрузки при его применении пользователями</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Протезы должны выдерживать ударные нагрузки, возникающие при падении с высоты 1 м на жесткую поверхность.</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Индивидуальная схема построения протеза должна обеспечивать устойчивость пользователя в сагиттальной (</w:t>
      </w:r>
      <w:proofErr w:type="spellStart"/>
      <w:r w:rsidRPr="008E6446">
        <w:rPr>
          <w:rFonts w:ascii="Times New Roman" w:hAnsi="Times New Roman"/>
          <w:sz w:val="24"/>
          <w:szCs w:val="24"/>
        </w:rPr>
        <w:t>подкосоустойчивость</w:t>
      </w:r>
      <w:proofErr w:type="spellEnd"/>
      <w:r w:rsidRPr="008E6446">
        <w:rPr>
          <w:rFonts w:ascii="Times New Roman" w:hAnsi="Times New Roman"/>
          <w:sz w:val="24"/>
          <w:szCs w:val="24"/>
        </w:rPr>
        <w:t>) и фронтальной плоскостях в состояниях статики и динамики.</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Материалы приемных гильз, контактирующие с телом человека, должны быть разрешены к применению Министерством здравоохранения Российской Федерации.</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Материалы приемных гильз не должны деформироваться в процессе эксплуатации протеза.</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Узлы протезов должны быть стойкими к воздействию физиологических растворов (пота, мочи).</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 xml:space="preserve">Протезы должны быть устойчивы к воздействию средств дезинфекции и </w:t>
      </w:r>
      <w:proofErr w:type="spellStart"/>
      <w:r w:rsidRPr="008E6446">
        <w:rPr>
          <w:rFonts w:ascii="Times New Roman" w:hAnsi="Times New Roman"/>
          <w:sz w:val="24"/>
          <w:szCs w:val="24"/>
        </w:rPr>
        <w:t>санитарно</w:t>
      </w:r>
      <w:proofErr w:type="spellEnd"/>
      <w:r w:rsidRPr="008E6446">
        <w:rPr>
          <w:rFonts w:ascii="Times New Roman" w:hAnsi="Times New Roman"/>
          <w:sz w:val="24"/>
          <w:szCs w:val="24"/>
        </w:rPr>
        <w:t xml:space="preserve"> – гигиенической обработки. </w:t>
      </w:r>
    </w:p>
    <w:p w:rsidR="00E53F90" w:rsidRPr="008E6446" w:rsidRDefault="00E53F90" w:rsidP="00E53F90">
      <w:pPr>
        <w:pStyle w:val="FR3"/>
        <w:widowControl/>
        <w:spacing w:line="240" w:lineRule="auto"/>
        <w:ind w:firstLine="586"/>
        <w:rPr>
          <w:rFonts w:ascii="Times New Roman" w:hAnsi="Times New Roman"/>
          <w:sz w:val="24"/>
          <w:szCs w:val="24"/>
        </w:rPr>
      </w:pPr>
      <w:r w:rsidRPr="008E6446">
        <w:rPr>
          <w:rFonts w:ascii="Times New Roman" w:hAnsi="Times New Roman"/>
          <w:sz w:val="24"/>
          <w:szCs w:val="24"/>
        </w:rPr>
        <w:t>Функциональный узел протеза должен выполнять заданную функцию и иметь конструктивно-технологическую завершенность.</w:t>
      </w:r>
    </w:p>
    <w:p w:rsidR="00E53F90" w:rsidRPr="008E6446" w:rsidRDefault="00E53F90" w:rsidP="00E53F90">
      <w:pPr>
        <w:ind w:firstLine="586"/>
        <w:jc w:val="both"/>
      </w:pPr>
      <w:r w:rsidRPr="008E6446">
        <w:t>При наличии в конструкции протезов металлических частей, они должны быть изготовлены из коррозийно-стойких материалов или защищены от коррозии специальными покрытиями. Работы по обеспечению граждан протезами должны быть выполнены с надлежащим качеством и в установленные сроки.</w:t>
      </w:r>
    </w:p>
    <w:p w:rsidR="00E53F90" w:rsidRPr="008E6446" w:rsidRDefault="00E53F90" w:rsidP="00E53F90">
      <w:pPr>
        <w:ind w:firstLine="586"/>
        <w:jc w:val="both"/>
      </w:pPr>
      <w:r w:rsidRPr="008E6446">
        <w:t xml:space="preserve">Упаковка протезов нижних конечностей должна обеспечивать защиту от повреждений, порчи (изнашивания) или загрязнения во время хранения и, при необходимости, транспортировки к месту использования по назначению. </w:t>
      </w:r>
    </w:p>
    <w:p w:rsidR="00E53F90" w:rsidRPr="008E6446" w:rsidRDefault="00E53F90" w:rsidP="00E53F90">
      <w:pPr>
        <w:shd w:val="clear" w:color="auto" w:fill="FFFFFF"/>
        <w:ind w:firstLine="586"/>
        <w:jc w:val="both"/>
      </w:pPr>
      <w:r w:rsidRPr="008E6446">
        <w:t xml:space="preserve">Протезы должны быть </w:t>
      </w:r>
      <w:proofErr w:type="spellStart"/>
      <w:r w:rsidRPr="008E6446">
        <w:t>ремонтопригодными</w:t>
      </w:r>
      <w:proofErr w:type="spellEnd"/>
      <w:r w:rsidRPr="008E6446">
        <w:t xml:space="preserve"> в течение всего срока службы.</w:t>
      </w:r>
    </w:p>
    <w:p w:rsidR="00E53F90" w:rsidRPr="008E6446" w:rsidRDefault="00E53F90" w:rsidP="00E53F90">
      <w:pPr>
        <w:ind w:firstLine="586"/>
        <w:jc w:val="both"/>
      </w:pPr>
      <w:r w:rsidRPr="008E6446">
        <w:t>Срок службы протезов нижних конечностей, в течение которого изделия сохраняют свои технические, качественные и функциональные характеристики должен составлять:</w:t>
      </w:r>
    </w:p>
    <w:p w:rsidR="00E53F90" w:rsidRPr="008E6446" w:rsidRDefault="00E53F90" w:rsidP="00E53F90">
      <w:pPr>
        <w:shd w:val="clear" w:color="auto" w:fill="FFFFFF"/>
        <w:ind w:firstLine="586"/>
        <w:jc w:val="both"/>
      </w:pPr>
      <w:r w:rsidRPr="008E6446">
        <w:t>– протез голени немодульного типа не менее 2 лет (для детей-инвалидов – не менее 1 года);</w:t>
      </w:r>
    </w:p>
    <w:p w:rsidR="00E53F90" w:rsidRPr="008E6446" w:rsidRDefault="00E53F90" w:rsidP="00E53F90">
      <w:pPr>
        <w:shd w:val="clear" w:color="auto" w:fill="FFFFFF"/>
        <w:ind w:firstLine="586"/>
        <w:jc w:val="both"/>
      </w:pPr>
      <w:r w:rsidRPr="008E6446">
        <w:t>– протез голени для купания не менее 3 лет (для детей-инвалидов – не менее 1 года);</w:t>
      </w:r>
    </w:p>
    <w:p w:rsidR="00E53F90" w:rsidRPr="008E6446" w:rsidRDefault="00E53F90" w:rsidP="00E53F90">
      <w:pPr>
        <w:shd w:val="clear" w:color="auto" w:fill="FFFFFF"/>
        <w:ind w:firstLine="586"/>
        <w:jc w:val="both"/>
      </w:pPr>
      <w:r w:rsidRPr="008E6446">
        <w:t>– протез голени модульного типа, в том числе при недоразвитии не менее 2 лет (для детей-инвалидов – не менее 1 года);</w:t>
      </w:r>
    </w:p>
    <w:p w:rsidR="00E53F90" w:rsidRPr="008E6446" w:rsidRDefault="00E53F90" w:rsidP="00E53F90">
      <w:pPr>
        <w:shd w:val="clear" w:color="auto" w:fill="FFFFFF"/>
        <w:ind w:firstLine="586"/>
        <w:jc w:val="both"/>
      </w:pPr>
      <w:r w:rsidRPr="008E6446">
        <w:t>– протез бедра для купания не менее 3 лет (для детей-инвалидов – не менее 1 года);</w:t>
      </w:r>
    </w:p>
    <w:p w:rsidR="00E53F90" w:rsidRPr="008E6446" w:rsidRDefault="00E53F90" w:rsidP="00E53F90">
      <w:pPr>
        <w:shd w:val="clear" w:color="auto" w:fill="FFFFFF"/>
        <w:ind w:firstLine="586"/>
        <w:jc w:val="both"/>
        <w:rPr>
          <w:kern w:val="24"/>
        </w:rPr>
      </w:pPr>
      <w:r w:rsidRPr="008E6446">
        <w:t>– протез бедра модульный, в том числе при врожденном недоразвитии не менее 2 лет (для детей-инвалидов – не менее 1 года).</w:t>
      </w:r>
    </w:p>
    <w:p w:rsidR="00E53F90" w:rsidRPr="008E6446" w:rsidRDefault="00E53F90" w:rsidP="00E53F90">
      <w:pPr>
        <w:autoSpaceDE w:val="0"/>
        <w:autoSpaceDN w:val="0"/>
        <w:adjustRightInd w:val="0"/>
        <w:ind w:firstLine="586"/>
        <w:jc w:val="both"/>
      </w:pPr>
      <w:r w:rsidRPr="008E6446">
        <w:rPr>
          <w:b/>
        </w:rPr>
        <w:t>Требования к гарантийному сроку товара:</w:t>
      </w:r>
      <w:r w:rsidRPr="008E6446">
        <w:rPr>
          <w:color w:val="FF0000"/>
        </w:rPr>
        <w:t xml:space="preserve"> </w:t>
      </w:r>
      <w:r w:rsidRPr="008E6446">
        <w:t>гарантийный срок Товара составляет для:</w:t>
      </w:r>
    </w:p>
    <w:p w:rsidR="00E53F90" w:rsidRPr="008E6446" w:rsidRDefault="00E53F90" w:rsidP="00E53F90">
      <w:pPr>
        <w:shd w:val="clear" w:color="auto" w:fill="FFFFFF"/>
        <w:ind w:firstLine="586"/>
        <w:jc w:val="both"/>
      </w:pPr>
      <w:r w:rsidRPr="008E6446">
        <w:t>– протеза голени немодульного типа 1 год;</w:t>
      </w:r>
    </w:p>
    <w:p w:rsidR="00E53F90" w:rsidRPr="008E6446" w:rsidRDefault="00E53F90" w:rsidP="00E53F90">
      <w:pPr>
        <w:shd w:val="clear" w:color="auto" w:fill="FFFFFF"/>
        <w:ind w:firstLine="586"/>
        <w:jc w:val="both"/>
      </w:pPr>
      <w:r w:rsidRPr="008E6446">
        <w:t>– протеза голени для купания 1,5 лет;</w:t>
      </w:r>
    </w:p>
    <w:p w:rsidR="00E53F90" w:rsidRPr="008E6446" w:rsidRDefault="00E53F90" w:rsidP="00E53F90">
      <w:pPr>
        <w:shd w:val="clear" w:color="auto" w:fill="FFFFFF"/>
        <w:ind w:firstLine="586"/>
        <w:jc w:val="both"/>
      </w:pPr>
      <w:r w:rsidRPr="008E6446">
        <w:t>– протеза голени модульного типа, в том числе при недоразвитии 1 год;</w:t>
      </w:r>
    </w:p>
    <w:p w:rsidR="00E53F90" w:rsidRPr="008E6446" w:rsidRDefault="00E53F90" w:rsidP="00E53F90">
      <w:pPr>
        <w:shd w:val="clear" w:color="auto" w:fill="FFFFFF"/>
        <w:ind w:firstLine="586"/>
        <w:jc w:val="both"/>
      </w:pPr>
      <w:r w:rsidRPr="008E6446">
        <w:t>– протеза бедра для купания 1,5 лет;</w:t>
      </w:r>
    </w:p>
    <w:p w:rsidR="00E53F90" w:rsidRPr="008E6446" w:rsidRDefault="00E53F90" w:rsidP="00E53F90">
      <w:pPr>
        <w:shd w:val="clear" w:color="auto" w:fill="FFFFFF"/>
        <w:ind w:firstLine="586"/>
        <w:jc w:val="both"/>
      </w:pPr>
      <w:r w:rsidRPr="008E6446">
        <w:t xml:space="preserve">– протеза бедра модульный, в том числе при врожденном недоразвитии 1 год со дня подписания Получателем акта </w:t>
      </w:r>
      <w:r w:rsidRPr="00932974">
        <w:t>сдачи – приемки работ</w:t>
      </w:r>
      <w:r w:rsidRPr="008E6446">
        <w:t>.</w:t>
      </w:r>
    </w:p>
    <w:p w:rsidR="00E53F90" w:rsidRDefault="00E53F90" w:rsidP="00E53F90">
      <w:pPr>
        <w:shd w:val="clear" w:color="auto" w:fill="FFFFFF"/>
        <w:ind w:firstLine="586"/>
        <w:jc w:val="both"/>
      </w:pPr>
      <w:r w:rsidRPr="008E6446">
        <w:lastRenderedPageBreak/>
        <w:t xml:space="preserve">Гарантийный ремонт протезов или </w:t>
      </w:r>
      <w:r w:rsidRPr="008E6446">
        <w:rPr>
          <w:bCs/>
          <w:spacing w:val="-4"/>
        </w:rPr>
        <w:t xml:space="preserve">замена изделий в связи с обеспечением изделиями ненадлежащего качества или в связи с неправильным определением размера изделия </w:t>
      </w:r>
      <w:r w:rsidRPr="008E6446">
        <w:t xml:space="preserve">должна осуществляться за счет Исполнителя в период гарантийного срока. </w:t>
      </w:r>
    </w:p>
    <w:p w:rsidR="00E53F90" w:rsidRDefault="00E53F90" w:rsidP="00E53F90">
      <w:pPr>
        <w:shd w:val="clear" w:color="auto" w:fill="FFFFFF"/>
        <w:tabs>
          <w:tab w:val="left" w:pos="7176"/>
        </w:tabs>
        <w:ind w:right="10" w:firstLine="586"/>
        <w:jc w:val="both"/>
      </w:pPr>
      <w:r>
        <w:t xml:space="preserve">В соответствии с требованиями раздела 5 ГОСТ Р 59542-2021 Исполнитель обязан предоставить возможность обучения Получателей правилам пользования протезами. </w:t>
      </w:r>
    </w:p>
    <w:p w:rsidR="00E53F90" w:rsidRDefault="00E53F90" w:rsidP="00E53F90">
      <w:pPr>
        <w:shd w:val="clear" w:color="auto" w:fill="FFFFFF"/>
        <w:tabs>
          <w:tab w:val="left" w:pos="7176"/>
        </w:tabs>
        <w:ind w:right="10" w:firstLine="586"/>
        <w:jc w:val="both"/>
      </w:pPr>
      <w:r>
        <w:t>В соответствии с требованиями п. 4.6 ГОСТ Р 59542-2021 после окончания пациентом курса по обучению пользованию протезом нижней конечности Исполнитель оформляет заключение о проведенном курсе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p>
    <w:p w:rsidR="00E53F90" w:rsidRDefault="00E53F90" w:rsidP="00E53F90">
      <w:pPr>
        <w:shd w:val="clear" w:color="auto" w:fill="FFFFFF"/>
        <w:ind w:firstLine="567"/>
        <w:jc w:val="both"/>
      </w:pPr>
      <w:r>
        <w:rPr>
          <w:b/>
        </w:rPr>
        <w:t xml:space="preserve">Место </w:t>
      </w:r>
      <w:r>
        <w:rPr>
          <w:rFonts w:eastAsia="Times New Roman CYR"/>
          <w:b/>
          <w:kern w:val="24"/>
        </w:rPr>
        <w:t>выполнения работ</w:t>
      </w:r>
      <w:r>
        <w:rPr>
          <w:b/>
          <w:kern w:val="24"/>
        </w:rPr>
        <w:t>:</w:t>
      </w:r>
      <w:r>
        <w:rPr>
          <w:b/>
        </w:rPr>
        <w:t xml:space="preserve"> </w:t>
      </w:r>
      <w:r>
        <w:rPr>
          <w:kern w:val="24"/>
        </w:rPr>
        <w:t>Алтайский край, в том числе в городах: Барнаул, Бийск, Рубцовск, Славгород в пунктах приема Получателей по адресам, указанным Исполнителем</w:t>
      </w:r>
      <w:r>
        <w:t>.</w:t>
      </w:r>
    </w:p>
    <w:p w:rsidR="00E53F90" w:rsidRDefault="00E53F90" w:rsidP="00E53F90">
      <w:pPr>
        <w:tabs>
          <w:tab w:val="left" w:pos="1200"/>
        </w:tabs>
        <w:ind w:firstLine="567"/>
        <w:jc w:val="both"/>
      </w:pPr>
      <w:r>
        <w:t>Пункты выдачи Изделий, организованные Исполнителем,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53F90" w:rsidRDefault="00E53F90" w:rsidP="00E53F90">
      <w:pPr>
        <w:tabs>
          <w:tab w:val="left" w:pos="1200"/>
        </w:tabs>
        <w:ind w:firstLine="567"/>
        <w:jc w:val="both"/>
      </w:pPr>
      <w:r>
        <w:t>График работы пункта(</w:t>
      </w:r>
      <w:proofErr w:type="spellStart"/>
      <w:r>
        <w:t>ов</w:t>
      </w:r>
      <w:proofErr w:type="spellEnd"/>
      <w:r>
        <w:t>) выдачи должен обеспечивать возможность передачи Изделий Получателям 5 (Пять) дней в неделю, 40 (сорок) часов в неделю, при этом время работы пункта должно попадать в интервал с 08:00 до 20:00. В пунктах выдачи должно быть обеспечено присутствие представителя Исполнителя для возможности предоставления Получателям консультаций по техническим характеристикам Изделий. Пункты выдачи Изделий должны соответствовать требованиям и стандартам, предъявляемым к условиям хранения изделий медицинского и санитарно-гигиенического назначения.</w:t>
      </w:r>
    </w:p>
    <w:p w:rsidR="00E53F90" w:rsidRDefault="00E53F90" w:rsidP="00E53F90">
      <w:pPr>
        <w:ind w:firstLine="567"/>
        <w:jc w:val="both"/>
        <w:rPr>
          <w:kern w:val="24"/>
        </w:rPr>
      </w:pPr>
      <w:r>
        <w:rPr>
          <w:kern w:val="24"/>
        </w:rPr>
        <w:t>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w:t>
      </w:r>
    </w:p>
    <w:p w:rsidR="00E53F90" w:rsidRDefault="00E53F90" w:rsidP="00E53F90">
      <w:pPr>
        <w:ind w:firstLine="567"/>
        <w:jc w:val="both"/>
        <w:rPr>
          <w:kern w:val="24"/>
        </w:rPr>
      </w:pPr>
      <w:r>
        <w:rPr>
          <w:kern w:val="24"/>
        </w:rPr>
        <w:t>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E53F90" w:rsidRDefault="00E53F90" w:rsidP="00E53F90">
      <w:pPr>
        <w:ind w:firstLine="567"/>
        <w:jc w:val="both"/>
        <w:rPr>
          <w:kern w:val="24"/>
        </w:rPr>
      </w:pPr>
      <w:r>
        <w:rPr>
          <w:kern w:val="24"/>
        </w:rPr>
        <w:t xml:space="preserve"> 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Получателями в соответствии с п. 6.3.3, 6.3.6, 6.3.9 СП 59.13330.2020).</w:t>
      </w:r>
    </w:p>
    <w:p w:rsidR="00E53F90" w:rsidRDefault="00E53F90" w:rsidP="00E53F90">
      <w:pPr>
        <w:ind w:firstLine="567"/>
        <w:jc w:val="both"/>
        <w:rPr>
          <w:kern w:val="24"/>
        </w:rPr>
      </w:pPr>
      <w:r>
        <w:rPr>
          <w:kern w:val="24"/>
        </w:rPr>
        <w:t xml:space="preserve">Пункты приема должны иметь отдельный вход с улицы, зону ожидания Получателей, оборудованную мебелью для ожидания в сидячем положении. Максимальное время ожидания Получателей в очереди не должно превышать 15 минут. </w:t>
      </w:r>
    </w:p>
    <w:p w:rsidR="00E53F90" w:rsidRDefault="00E53F90" w:rsidP="00E53F90">
      <w:pPr>
        <w:ind w:firstLine="567"/>
        <w:jc w:val="both"/>
        <w:rPr>
          <w:kern w:val="24"/>
        </w:rPr>
      </w:pPr>
      <w:r>
        <w:rPr>
          <w:kern w:val="24"/>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E53F90" w:rsidRDefault="00E53F90" w:rsidP="00E53F90">
      <w:pPr>
        <w:ind w:firstLine="567"/>
        <w:jc w:val="both"/>
        <w:rPr>
          <w:kern w:val="24"/>
        </w:rPr>
      </w:pPr>
      <w:r>
        <w:rPr>
          <w:kern w:val="24"/>
        </w:rPr>
        <w:lastRenderedPageBreak/>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53F90" w:rsidRDefault="00E53F90" w:rsidP="00E53F90">
      <w:pPr>
        <w:ind w:firstLine="567"/>
        <w:jc w:val="both"/>
        <w:rPr>
          <w:kern w:val="24"/>
        </w:rPr>
      </w:pPr>
      <w:r>
        <w:rPr>
          <w:kern w:val="24"/>
        </w:rPr>
        <w:t>- возможность беспрепятственного входа в объекты и выхода из них;</w:t>
      </w:r>
    </w:p>
    <w:p w:rsidR="00E53F90" w:rsidRDefault="00E53F90" w:rsidP="00E53F90">
      <w:pPr>
        <w:ind w:firstLine="567"/>
        <w:jc w:val="both"/>
        <w:rPr>
          <w:kern w:val="24"/>
        </w:rPr>
      </w:pPr>
      <w:r>
        <w:rPr>
          <w:kern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Pr>
          <w:kern w:val="24"/>
        </w:rPr>
        <w:t>ассистивных</w:t>
      </w:r>
      <w:proofErr w:type="spellEnd"/>
      <w:r>
        <w:rPr>
          <w:kern w:val="24"/>
        </w:rPr>
        <w:t xml:space="preserve"> и вспомогательных технологий, а также сменного кресла-коляски;</w:t>
      </w:r>
    </w:p>
    <w:p w:rsidR="00E53F90" w:rsidRDefault="00E53F90" w:rsidP="00E53F90">
      <w:pPr>
        <w:ind w:firstLine="567"/>
        <w:jc w:val="both"/>
        <w:rPr>
          <w:kern w:val="24"/>
        </w:rPr>
      </w:pPr>
      <w:r>
        <w:rPr>
          <w:kern w:val="24"/>
        </w:rPr>
        <w:t>- сопровождение Получателей, имеющих стойкие нарушения функции зрения и самостоятельного передвижения по территории объекта;</w:t>
      </w:r>
    </w:p>
    <w:p w:rsidR="00E53F90" w:rsidRDefault="00E53F90" w:rsidP="00E53F90">
      <w:pPr>
        <w:ind w:firstLine="567"/>
        <w:jc w:val="both"/>
        <w:rPr>
          <w:kern w:val="24"/>
        </w:rPr>
      </w:pPr>
      <w:r>
        <w:rPr>
          <w:kern w:val="24"/>
        </w:rPr>
        <w:t>- содействие Получателям при входе в объект и выходе из него, информирование Получателей о доступных маршрутах общественного транспорта;</w:t>
      </w:r>
    </w:p>
    <w:p w:rsidR="00E53F90" w:rsidRDefault="00E53F90" w:rsidP="00E53F90">
      <w:pPr>
        <w:ind w:firstLine="567"/>
        <w:jc w:val="both"/>
        <w:rPr>
          <w:kern w:val="24"/>
        </w:rPr>
      </w:pPr>
      <w:r>
        <w:rPr>
          <w:kern w:val="24"/>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53F90" w:rsidRDefault="00E53F90" w:rsidP="00E53F90">
      <w:pPr>
        <w:ind w:firstLine="567"/>
        <w:jc w:val="both"/>
        <w:rPr>
          <w:kern w:val="24"/>
        </w:rPr>
      </w:pPr>
      <w:r>
        <w:rPr>
          <w:kern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w:t>
      </w:r>
      <w:r w:rsidRPr="00894F2F">
        <w:rPr>
          <w:kern w:val="24"/>
        </w:rPr>
        <w:t xml:space="preserve"> </w:t>
      </w:r>
      <w:hyperlink r:id="rId6" w:anchor="block_1000" w:history="1">
        <w:r w:rsidRPr="00894F2F">
          <w:rPr>
            <w:rStyle w:val="a7"/>
            <w:rFonts w:eastAsia="Lucida Sans Unicode"/>
            <w:color w:val="auto"/>
            <w:kern w:val="24"/>
          </w:rPr>
          <w:t>форме</w:t>
        </w:r>
      </w:hyperlink>
      <w:r>
        <w:rPr>
          <w:kern w:val="24"/>
        </w:rPr>
        <w:t xml:space="preserve"> и в </w:t>
      </w:r>
      <w:hyperlink r:id="rId7" w:anchor="block_2000" w:history="1">
        <w:r w:rsidRPr="00894F2F">
          <w:rPr>
            <w:rStyle w:val="a7"/>
            <w:rFonts w:eastAsia="Lucida Sans Unicode"/>
            <w:color w:val="auto"/>
            <w:kern w:val="24"/>
          </w:rPr>
          <w:t>порядке</w:t>
        </w:r>
      </w:hyperlink>
      <w:r>
        <w:rPr>
          <w:kern w:val="24"/>
        </w:rPr>
        <w:t xml:space="preserve">, утвержденных </w:t>
      </w:r>
      <w:hyperlink r:id="rId8" w:history="1">
        <w:r w:rsidRPr="00894F2F">
          <w:rPr>
            <w:rStyle w:val="a7"/>
            <w:rFonts w:eastAsia="Lucida Sans Unicode"/>
            <w:color w:val="auto"/>
            <w:kern w:val="24"/>
          </w:rPr>
          <w:t>приказом</w:t>
        </w:r>
      </w:hyperlink>
      <w:r w:rsidRPr="00894F2F">
        <w:rPr>
          <w:kern w:val="24"/>
        </w:rPr>
        <w:t xml:space="preserve"> </w:t>
      </w:r>
      <w:r>
        <w:rPr>
          <w:kern w:val="24"/>
        </w:rPr>
        <w:t>Министерства труда и социальной защиты Российской Федерации от 22 июня 2015 года № 386 н.</w:t>
      </w:r>
    </w:p>
    <w:p w:rsidR="00E53F90" w:rsidRDefault="00E53F90" w:rsidP="00E53F90">
      <w:pPr>
        <w:ind w:firstLine="567"/>
        <w:jc w:val="both"/>
        <w:rPr>
          <w:bCs/>
          <w:spacing w:val="3"/>
        </w:rPr>
      </w:pPr>
      <w:r>
        <w:rPr>
          <w:b/>
        </w:rPr>
        <w:t xml:space="preserve">Требования к порядку выполнения работ: </w:t>
      </w:r>
      <w:r>
        <w:t>выполнение работ осуществляется в течение 40 (сорока) календарных дней со дня получения направления, выдаваемого Заказчиком,</w:t>
      </w:r>
      <w:r>
        <w:rPr>
          <w:bCs/>
          <w:spacing w:val="3"/>
        </w:rPr>
        <w:t xml:space="preserve"> в местах выполнения работ. </w:t>
      </w:r>
    </w:p>
    <w:p w:rsidR="00A169DE" w:rsidRPr="00805DB8" w:rsidRDefault="00E53F90" w:rsidP="00805DB8">
      <w:pPr>
        <w:ind w:firstLine="567"/>
        <w:jc w:val="both"/>
        <w:rPr>
          <w:b/>
          <w:sz w:val="25"/>
          <w:szCs w:val="25"/>
        </w:rPr>
      </w:pPr>
      <w:r>
        <w:rPr>
          <w:kern w:val="24"/>
        </w:rPr>
        <w:t>При выполнении работ необходимо: осуществлять индивидуальное изготовление Получателям Изделий.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sectPr w:rsidR="00A169DE" w:rsidRPr="00805DB8"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F54A30"/>
    <w:multiLevelType w:val="hybridMultilevel"/>
    <w:tmpl w:val="AB0450CA"/>
    <w:lvl w:ilvl="0" w:tplc="9EFCC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0D6745"/>
    <w:rsid w:val="001066B1"/>
    <w:rsid w:val="00112062"/>
    <w:rsid w:val="0017437D"/>
    <w:rsid w:val="00182BB9"/>
    <w:rsid w:val="001A70B1"/>
    <w:rsid w:val="00241F6A"/>
    <w:rsid w:val="0024535C"/>
    <w:rsid w:val="002E5B1F"/>
    <w:rsid w:val="003501B3"/>
    <w:rsid w:val="00380D08"/>
    <w:rsid w:val="003851EC"/>
    <w:rsid w:val="004167F2"/>
    <w:rsid w:val="00424126"/>
    <w:rsid w:val="004329AF"/>
    <w:rsid w:val="00436B8A"/>
    <w:rsid w:val="00462BAB"/>
    <w:rsid w:val="0048041E"/>
    <w:rsid w:val="00493266"/>
    <w:rsid w:val="004B2100"/>
    <w:rsid w:val="005529CF"/>
    <w:rsid w:val="00581744"/>
    <w:rsid w:val="005A1F26"/>
    <w:rsid w:val="005A58ED"/>
    <w:rsid w:val="005B5A8B"/>
    <w:rsid w:val="005D52B9"/>
    <w:rsid w:val="00635236"/>
    <w:rsid w:val="00663BDA"/>
    <w:rsid w:val="0071267A"/>
    <w:rsid w:val="00775CA6"/>
    <w:rsid w:val="007D4314"/>
    <w:rsid w:val="00805DB8"/>
    <w:rsid w:val="008118ED"/>
    <w:rsid w:val="00815F84"/>
    <w:rsid w:val="008161E9"/>
    <w:rsid w:val="00832A77"/>
    <w:rsid w:val="00853DDA"/>
    <w:rsid w:val="008D42E1"/>
    <w:rsid w:val="008D481E"/>
    <w:rsid w:val="008F245B"/>
    <w:rsid w:val="00987AE7"/>
    <w:rsid w:val="009D0564"/>
    <w:rsid w:val="00A0349B"/>
    <w:rsid w:val="00A169DE"/>
    <w:rsid w:val="00A403B8"/>
    <w:rsid w:val="00AB5AFF"/>
    <w:rsid w:val="00AE09E8"/>
    <w:rsid w:val="00B12FB1"/>
    <w:rsid w:val="00B3342E"/>
    <w:rsid w:val="00B90C38"/>
    <w:rsid w:val="00B95955"/>
    <w:rsid w:val="00BC0123"/>
    <w:rsid w:val="00C37AFC"/>
    <w:rsid w:val="00C67487"/>
    <w:rsid w:val="00D7118F"/>
    <w:rsid w:val="00D8276E"/>
    <w:rsid w:val="00E53F90"/>
    <w:rsid w:val="00E82789"/>
    <w:rsid w:val="00EA7233"/>
    <w:rsid w:val="00EC00F7"/>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1C06F9-08A5-429A-A59A-7002421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267A"/>
    <w:pPr>
      <w:keepNext/>
      <w:numPr>
        <w:numId w:val="1"/>
      </w:numPr>
      <w:overflowPunct w:val="0"/>
      <w:autoSpaceDE w:val="0"/>
      <w:spacing w:before="120" w:after="120" w:line="360" w:lineRule="auto"/>
      <w:outlineLvl w:val="0"/>
    </w:pPr>
    <w:rPr>
      <w:rFonts w:eastAsia="Lucida Sans Unicode" w:cs="Tahoma"/>
      <w:b/>
      <w:bCs/>
      <w:color w:val="000000"/>
      <w:kern w:val="2"/>
      <w:sz w:val="32"/>
      <w:szCs w:val="32"/>
      <w:lang w:eastAsia="en-US" w:bidi="en-US"/>
    </w:rPr>
  </w:style>
  <w:style w:type="paragraph" w:styleId="2">
    <w:name w:val="heading 2"/>
    <w:basedOn w:val="a"/>
    <w:next w:val="a"/>
    <w:link w:val="20"/>
    <w:qFormat/>
    <w:rsid w:val="0071267A"/>
    <w:pPr>
      <w:keepNext/>
      <w:widowControl w:val="0"/>
      <w:numPr>
        <w:ilvl w:val="1"/>
        <w:numId w:val="1"/>
      </w:numPr>
      <w:spacing w:before="240" w:after="60"/>
      <w:outlineLvl w:val="1"/>
    </w:pPr>
    <w:rPr>
      <w:rFonts w:ascii="Arial" w:eastAsia="Lucida Sans Unicode" w:hAnsi="Arial" w:cs="Arial"/>
      <w:b/>
      <w:bCs/>
      <w:i/>
      <w:iCs/>
      <w:color w:val="000000"/>
      <w:sz w:val="28"/>
      <w:szCs w:val="28"/>
      <w:lang w:eastAsia="en-US" w:bidi="en-US"/>
    </w:rPr>
  </w:style>
  <w:style w:type="paragraph" w:styleId="6">
    <w:name w:val="heading 6"/>
    <w:basedOn w:val="a"/>
    <w:next w:val="a"/>
    <w:link w:val="60"/>
    <w:qFormat/>
    <w:rsid w:val="0071267A"/>
    <w:pPr>
      <w:keepNext/>
      <w:numPr>
        <w:ilvl w:val="5"/>
        <w:numId w:val="1"/>
      </w:numPr>
      <w:overflowPunct w:val="0"/>
      <w:autoSpaceDE w:val="0"/>
      <w:spacing w:line="100" w:lineRule="atLeast"/>
      <w:outlineLvl w:val="5"/>
    </w:pPr>
    <w:rPr>
      <w:rFonts w:eastAsia="Lucida Sans Unicode" w:cs="Tahoma"/>
      <w:color w:val="00000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3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1267A"/>
    <w:rPr>
      <w:rFonts w:ascii="Times New Roman" w:eastAsia="Lucida Sans Unicode" w:hAnsi="Times New Roman" w:cs="Tahoma"/>
      <w:b/>
      <w:bCs/>
      <w:color w:val="000000"/>
      <w:kern w:val="2"/>
      <w:sz w:val="32"/>
      <w:szCs w:val="32"/>
      <w:lang w:bidi="en-US"/>
    </w:rPr>
  </w:style>
  <w:style w:type="character" w:customStyle="1" w:styleId="20">
    <w:name w:val="Заголовок 2 Знак"/>
    <w:basedOn w:val="a0"/>
    <w:link w:val="2"/>
    <w:rsid w:val="0071267A"/>
    <w:rPr>
      <w:rFonts w:ascii="Arial" w:eastAsia="Lucida Sans Unicode" w:hAnsi="Arial" w:cs="Arial"/>
      <w:b/>
      <w:bCs/>
      <w:i/>
      <w:iCs/>
      <w:color w:val="000000"/>
      <w:sz w:val="28"/>
      <w:szCs w:val="28"/>
      <w:lang w:bidi="en-US"/>
    </w:rPr>
  </w:style>
  <w:style w:type="character" w:customStyle="1" w:styleId="60">
    <w:name w:val="Заголовок 6 Знак"/>
    <w:basedOn w:val="a0"/>
    <w:link w:val="6"/>
    <w:rsid w:val="0071267A"/>
    <w:rPr>
      <w:rFonts w:ascii="Times New Roman" w:eastAsia="Lucida Sans Unicode" w:hAnsi="Times New Roman" w:cs="Tahoma"/>
      <w:color w:val="000000"/>
      <w:sz w:val="24"/>
      <w:szCs w:val="24"/>
      <w:lang w:bidi="en-US"/>
    </w:rPr>
  </w:style>
  <w:style w:type="paragraph" w:customStyle="1" w:styleId="FR3">
    <w:name w:val="FR3"/>
    <w:rsid w:val="00987AE7"/>
    <w:pPr>
      <w:widowControl w:val="0"/>
      <w:suppressAutoHyphens/>
      <w:spacing w:after="0" w:line="300" w:lineRule="auto"/>
      <w:jc w:val="both"/>
    </w:pPr>
    <w:rPr>
      <w:rFonts w:ascii="Arial Narrow" w:eastAsia="Arial" w:hAnsi="Arial Narrow" w:cs="Times New Roman"/>
      <w:sz w:val="28"/>
      <w:szCs w:val="28"/>
      <w:lang w:eastAsia="ar-SA"/>
    </w:rPr>
  </w:style>
  <w:style w:type="character" w:styleId="a7">
    <w:name w:val="Hyperlink"/>
    <w:aliases w:val="%Hyperlink"/>
    <w:rsid w:val="00E53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1351045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 TargetMode="External"/><Relationship Id="rId3" Type="http://schemas.openxmlformats.org/officeDocument/2006/relationships/styles" Target="styles.xml"/><Relationship Id="rId7" Type="http://schemas.openxmlformats.org/officeDocument/2006/relationships/hyperlink" Target="http://base.garant.ru/71145140/f7ee959fd36b5699076b35abf4f52c5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1145140/53f89421bbdaf741eb2d1ecc4ddb4c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F4DC-D1D4-4856-96CE-A0BBB6BA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3</cp:revision>
  <cp:lastPrinted>2019-12-25T09:02:00Z</cp:lastPrinted>
  <dcterms:created xsi:type="dcterms:W3CDTF">2023-09-25T09:22:00Z</dcterms:created>
  <dcterms:modified xsi:type="dcterms:W3CDTF">2023-09-25T09:23:00Z</dcterms:modified>
</cp:coreProperties>
</file>