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2" w:rsidRDefault="00FF7902" w:rsidP="00FF7902">
      <w:pPr>
        <w:jc w:val="both"/>
        <w:rPr>
          <w:b/>
        </w:rPr>
      </w:pPr>
    </w:p>
    <w:p w:rsidR="00C13BAF" w:rsidRPr="006979DE" w:rsidRDefault="00C13BAF" w:rsidP="006979DE">
      <w:pPr>
        <w:jc w:val="both"/>
      </w:pPr>
      <w:r>
        <w:rPr>
          <w:b/>
          <w:bCs/>
          <w:kern w:val="2"/>
        </w:rPr>
        <w:t>Место выполнения работ:</w:t>
      </w:r>
      <w:r w:rsidRPr="00C13BAF">
        <w:t xml:space="preserve"> </w:t>
      </w:r>
      <w:r w:rsidRPr="006979DE">
        <w:t xml:space="preserve">Осуществить </w:t>
      </w:r>
      <w:r w:rsidR="006979DE" w:rsidRPr="006979DE">
        <w:t>снятие мерок, примерка и выдача готовых</w:t>
      </w:r>
      <w:r w:rsidR="006979DE">
        <w:t xml:space="preserve"> </w:t>
      </w:r>
      <w:r w:rsidR="006979DE" w:rsidRPr="006979DE">
        <w:t>Изделий осуществляется в специализированных помещениях на</w:t>
      </w:r>
      <w:r w:rsidR="006979DE">
        <w:t xml:space="preserve"> территории Ханты-Мансийского </w:t>
      </w:r>
      <w:r w:rsidR="006979DE" w:rsidRPr="006979DE">
        <w:t>автономного округа-Югры</w:t>
      </w:r>
      <w:r w:rsidR="006979DE">
        <w:t>.</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0102" w:rsidRPr="00F20102">
        <w:t xml:space="preserve">Выдать готовое изделие, соответствующее техническому заданию контракта непосредственно Получателю на основании направления в не более 60 календарных дней с момента получения от Заказчика списков Получателей, Последняя выдача Изделий Получателям в рамках государственного контракта должна быть осуществлена не позднее 30 </w:t>
      </w:r>
      <w:r w:rsidR="00C53ADA">
        <w:rPr>
          <w:rFonts w:eastAsia="Andale Sans UI"/>
          <w:kern w:val="2"/>
          <w:lang w:eastAsia="ar-SA"/>
        </w:rPr>
        <w:t>октября</w:t>
      </w:r>
      <w:r w:rsidR="0032596B">
        <w:rPr>
          <w:rFonts w:eastAsia="Andale Sans UI"/>
          <w:kern w:val="2"/>
          <w:lang w:eastAsia="ar-SA"/>
        </w:rPr>
        <w:t xml:space="preserve"> </w:t>
      </w:r>
      <w:r w:rsidR="00F20102" w:rsidRPr="00F20102">
        <w:t>2022</w:t>
      </w:r>
      <w:r w:rsidR="00C53ADA">
        <w:t xml:space="preserve"> года</w:t>
      </w:r>
      <w:r w:rsidR="00F20102" w:rsidRPr="00F20102">
        <w:t>.</w:t>
      </w:r>
    </w:p>
    <w:p w:rsidR="00D7115C"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668"/>
        <w:gridCol w:w="1876"/>
        <w:gridCol w:w="4186"/>
        <w:gridCol w:w="1876"/>
        <w:gridCol w:w="867"/>
        <w:gridCol w:w="722"/>
      </w:tblGrid>
      <w:tr w:rsidR="00C937D4" w:rsidRPr="00C937D4" w:rsidTr="00C937D4">
        <w:trPr>
          <w:trHeight w:val="1398"/>
        </w:trPr>
        <w:tc>
          <w:tcPr>
            <w:tcW w:w="328" w:type="pct"/>
            <w:tcBorders>
              <w:top w:val="single" w:sz="4" w:space="0" w:color="000000"/>
              <w:left w:val="single" w:sz="4" w:space="0" w:color="000000"/>
              <w:bottom w:val="single" w:sz="4" w:space="0" w:color="000000"/>
              <w:right w:val="nil"/>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w:t>
            </w:r>
          </w:p>
          <w:p w:rsidR="00C937D4" w:rsidRPr="00C937D4" w:rsidRDefault="00C937D4" w:rsidP="00C937D4">
            <w:pPr>
              <w:autoSpaceDE w:val="0"/>
              <w:autoSpaceDN w:val="0"/>
              <w:adjustRightInd w:val="0"/>
              <w:jc w:val="center"/>
              <w:rPr>
                <w:sz w:val="22"/>
                <w:szCs w:val="22"/>
              </w:rPr>
            </w:pPr>
            <w:r w:rsidRPr="00C937D4">
              <w:rPr>
                <w:sz w:val="22"/>
                <w:szCs w:val="22"/>
              </w:rPr>
              <w:t>п/п</w:t>
            </w:r>
          </w:p>
        </w:tc>
        <w:tc>
          <w:tcPr>
            <w:tcW w:w="920" w:type="pct"/>
            <w:tcBorders>
              <w:top w:val="single" w:sz="4" w:space="0" w:color="000000"/>
              <w:left w:val="single" w:sz="4" w:space="0" w:color="000000"/>
              <w:bottom w:val="single" w:sz="4" w:space="0" w:color="000000"/>
              <w:right w:val="nil"/>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 xml:space="preserve">Наименование </w:t>
            </w:r>
          </w:p>
        </w:tc>
        <w:tc>
          <w:tcPr>
            <w:tcW w:w="2053" w:type="pct"/>
            <w:tcBorders>
              <w:top w:val="single" w:sz="4" w:space="0" w:color="000000"/>
              <w:left w:val="single" w:sz="4" w:space="0" w:color="000000"/>
              <w:bottom w:val="single" w:sz="4" w:space="0" w:color="auto"/>
              <w:right w:val="nil"/>
            </w:tcBorders>
            <w:vAlign w:val="center"/>
            <w:hideMark/>
          </w:tcPr>
          <w:p w:rsidR="00C937D4" w:rsidRPr="00355BFD" w:rsidRDefault="00C937D4" w:rsidP="00C937D4">
            <w:pPr>
              <w:contextualSpacing/>
              <w:jc w:val="center"/>
            </w:pPr>
            <w:r w:rsidRPr="00355BFD">
              <w:rPr>
                <w:sz w:val="20"/>
                <w:szCs w:val="20"/>
              </w:rPr>
              <w:t>Наименование показателя</w:t>
            </w:r>
            <w:r w:rsidRPr="00355BFD">
              <w:rPr>
                <w:vertAlign w:val="superscript"/>
              </w:rPr>
              <w:footnoteReference w:id="1"/>
            </w:r>
          </w:p>
          <w:p w:rsidR="00C937D4" w:rsidRPr="00355BFD" w:rsidRDefault="00C937D4" w:rsidP="00C937D4">
            <w:pPr>
              <w:contextualSpacing/>
              <w:jc w:val="center"/>
              <w:rPr>
                <w:color w:val="FF0000"/>
                <w:sz w:val="20"/>
                <w:szCs w:val="20"/>
              </w:rPr>
            </w:pPr>
            <w:r w:rsidRPr="00355BFD">
              <w:rPr>
                <w:color w:val="FF0000"/>
                <w:sz w:val="20"/>
                <w:szCs w:val="20"/>
              </w:rPr>
              <w:t>(неизменяемое)</w:t>
            </w:r>
          </w:p>
        </w:tc>
        <w:tc>
          <w:tcPr>
            <w:tcW w:w="920" w:type="pct"/>
            <w:tcBorders>
              <w:top w:val="single" w:sz="4" w:space="0" w:color="000000"/>
              <w:left w:val="single" w:sz="4" w:space="0" w:color="000000"/>
              <w:bottom w:val="single" w:sz="4" w:space="0" w:color="000000"/>
              <w:right w:val="nil"/>
            </w:tcBorders>
            <w:vAlign w:val="center"/>
            <w:hideMark/>
          </w:tcPr>
          <w:p w:rsidR="00C937D4" w:rsidRPr="00355BFD" w:rsidRDefault="00C937D4" w:rsidP="00C937D4">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2"/>
            </w:r>
          </w:p>
          <w:p w:rsidR="00C937D4" w:rsidRPr="00355BFD" w:rsidRDefault="00C937D4" w:rsidP="00C937D4">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425" w:type="pct"/>
            <w:tcBorders>
              <w:top w:val="single" w:sz="4" w:space="0" w:color="auto"/>
              <w:left w:val="single" w:sz="4" w:space="0" w:color="auto"/>
              <w:bottom w:val="single" w:sz="4" w:space="0" w:color="auto"/>
              <w:right w:val="single" w:sz="4" w:space="0" w:color="auto"/>
            </w:tcBorders>
            <w:vAlign w:val="center"/>
          </w:tcPr>
          <w:p w:rsidR="00C937D4" w:rsidRPr="00C937D4" w:rsidRDefault="00C937D4" w:rsidP="00C937D4">
            <w:pPr>
              <w:autoSpaceDE w:val="0"/>
              <w:autoSpaceDN w:val="0"/>
              <w:adjustRightInd w:val="0"/>
              <w:jc w:val="center"/>
              <w:rPr>
                <w:sz w:val="22"/>
                <w:szCs w:val="22"/>
              </w:rPr>
            </w:pPr>
            <w:r w:rsidRPr="00C937D4">
              <w:rPr>
                <w:sz w:val="22"/>
                <w:szCs w:val="22"/>
              </w:rPr>
              <w:t>Ед. изм.</w:t>
            </w:r>
          </w:p>
        </w:tc>
        <w:tc>
          <w:tcPr>
            <w:tcW w:w="354" w:type="pct"/>
            <w:tcBorders>
              <w:top w:val="single" w:sz="4" w:space="0" w:color="auto"/>
              <w:left w:val="single" w:sz="4" w:space="0" w:color="auto"/>
              <w:bottom w:val="single" w:sz="4" w:space="0" w:color="auto"/>
              <w:right w:val="single" w:sz="4" w:space="0" w:color="auto"/>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Кол-во</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hideMark/>
          </w:tcPr>
          <w:p w:rsidR="001678B0" w:rsidRPr="002B679F" w:rsidRDefault="001678B0" w:rsidP="001678B0">
            <w:pPr>
              <w:autoSpaceDE w:val="0"/>
              <w:autoSpaceDN w:val="0"/>
              <w:adjustRightInd w:val="0"/>
              <w:jc w:val="center"/>
            </w:pPr>
            <w:r>
              <w:t>1</w:t>
            </w:r>
          </w:p>
        </w:tc>
        <w:tc>
          <w:tcPr>
            <w:tcW w:w="920" w:type="pct"/>
            <w:tcBorders>
              <w:top w:val="single" w:sz="4" w:space="0" w:color="000000"/>
              <w:left w:val="single" w:sz="4" w:space="0" w:color="000000"/>
              <w:bottom w:val="single" w:sz="4" w:space="0" w:color="000000"/>
              <w:right w:val="single" w:sz="4" w:space="0" w:color="auto"/>
            </w:tcBorders>
          </w:tcPr>
          <w:p w:rsidR="001678B0" w:rsidRPr="00E66F40" w:rsidRDefault="001678B0" w:rsidP="001678B0">
            <w:r w:rsidRPr="00C12ADA">
              <w:t>Протез предплечья косметический</w:t>
            </w:r>
          </w:p>
        </w:tc>
        <w:tc>
          <w:tcPr>
            <w:tcW w:w="2053" w:type="pct"/>
            <w:tcBorders>
              <w:top w:val="single" w:sz="4" w:space="0" w:color="auto"/>
              <w:left w:val="single" w:sz="4" w:space="0" w:color="auto"/>
              <w:bottom w:val="single" w:sz="4" w:space="0" w:color="auto"/>
              <w:right w:val="single" w:sz="4" w:space="0" w:color="auto"/>
            </w:tcBorders>
          </w:tcPr>
          <w:p w:rsidR="001678B0" w:rsidRPr="00E66F40" w:rsidRDefault="001678B0" w:rsidP="001678B0">
            <w:pPr>
              <w:jc w:val="both"/>
            </w:pPr>
            <w:r w:rsidRPr="00C12ADA">
              <w:t xml:space="preserve">Протез предплечья косметический, комбинированный; взрослый, детский (до 10 лет); система управления отсутствует, управление сохранившейся рукой или </w:t>
            </w:r>
            <w:proofErr w:type="spellStart"/>
            <w:r w:rsidRPr="00C12ADA">
              <w:t>противоупором</w:t>
            </w:r>
            <w:proofErr w:type="spellEnd"/>
            <w:r w:rsidRPr="00C12ADA">
              <w:t>; кисть косметическая силиконовая с нейлоновой армирующей сеткой; узел локоть-предплечье отсутствует; дополнительное РСУ отсутствует,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с цилиндрическим хвостовиком диаметром 10 мм, ротатор кистевой с адаптером, для присоединения кистей косметических, тяговых каркасных без ротации и рабочих насадок, имеющих адаптер М12х1,5; приспособления отсутствуют, комплект рабочих насадок; оболочка косметическая отсутствует, оболочка косметическая ПВХ/пластизоль без покрытия; гильза индивидуальная одинарная, гильза индивидуальная составная, гильза геометрическая копия, сохранившейся руки, гильза отсутствует; материал гильзы: литьевой слоистый пластик на основе связующих смол, листовой термопластичный пластик, модуль при вычленении плеча отсутствует; Крепление индивидуальное, специальное, подгоночное.</w:t>
            </w:r>
          </w:p>
        </w:tc>
        <w:tc>
          <w:tcPr>
            <w:tcW w:w="920" w:type="pct"/>
            <w:tcBorders>
              <w:top w:val="single" w:sz="4" w:space="0" w:color="000000"/>
              <w:left w:val="single" w:sz="4" w:space="0" w:color="auto"/>
              <w:bottom w:val="single" w:sz="4" w:space="0" w:color="000000"/>
              <w:right w:val="nil"/>
            </w:tcBorders>
          </w:tcPr>
          <w:p w:rsidR="001678B0" w:rsidRPr="00E66F40" w:rsidRDefault="001678B0" w:rsidP="001678B0">
            <w:pPr>
              <w:autoSpaceDE w:val="0"/>
              <w:autoSpaceDN w:val="0"/>
              <w:adjustRightInd w:val="0"/>
              <w:jc w:val="both"/>
            </w:pPr>
            <w:r>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7</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tcPr>
          <w:p w:rsidR="001678B0" w:rsidRPr="002B679F" w:rsidRDefault="001678B0" w:rsidP="001678B0">
            <w:pPr>
              <w:autoSpaceDE w:val="0"/>
              <w:autoSpaceDN w:val="0"/>
              <w:adjustRightInd w:val="0"/>
              <w:jc w:val="center"/>
            </w:pPr>
            <w:r>
              <w:lastRenderedPageBreak/>
              <w:t>2</w:t>
            </w:r>
          </w:p>
        </w:tc>
        <w:tc>
          <w:tcPr>
            <w:tcW w:w="920" w:type="pct"/>
            <w:tcBorders>
              <w:top w:val="single" w:sz="4" w:space="0" w:color="000000"/>
              <w:left w:val="single" w:sz="4" w:space="0" w:color="000000"/>
              <w:bottom w:val="single" w:sz="4" w:space="0" w:color="000000"/>
              <w:right w:val="single" w:sz="4" w:space="0" w:color="auto"/>
            </w:tcBorders>
          </w:tcPr>
          <w:p w:rsidR="001678B0" w:rsidRPr="00C12ADA" w:rsidRDefault="001678B0" w:rsidP="001678B0">
            <w:r w:rsidRPr="00C12ADA">
              <w:t>Протез плеча косметический</w:t>
            </w:r>
          </w:p>
        </w:tc>
        <w:tc>
          <w:tcPr>
            <w:tcW w:w="2053" w:type="pct"/>
            <w:tcBorders>
              <w:top w:val="single" w:sz="4" w:space="0" w:color="auto"/>
              <w:left w:val="single" w:sz="4" w:space="0" w:color="auto"/>
              <w:bottom w:val="single" w:sz="4" w:space="0" w:color="auto"/>
              <w:right w:val="single" w:sz="4" w:space="0" w:color="auto"/>
            </w:tcBorders>
          </w:tcPr>
          <w:p w:rsidR="001678B0" w:rsidRPr="00C12ADA" w:rsidRDefault="001678B0" w:rsidP="001678B0">
            <w:pPr>
              <w:jc w:val="both"/>
            </w:pPr>
            <w:r w:rsidRPr="00C12ADA">
              <w:t>Протез плеча косметический. Отсутствует система управления, дополнительное РСУ и приспособление, косметическая оболочка. Кисть косметическая силиконовая Локоть-предплечье, активный со ступенчатой фиксацией с пассивной ротацией плеча. Гильза индивидуальная из литьевого слоистого пластика на основе связующих смол (акриловая смола). Крепление индивидуальное.</w:t>
            </w:r>
          </w:p>
        </w:tc>
        <w:tc>
          <w:tcPr>
            <w:tcW w:w="920" w:type="pct"/>
            <w:tcBorders>
              <w:top w:val="single" w:sz="4" w:space="0" w:color="000000"/>
              <w:left w:val="single" w:sz="4" w:space="0" w:color="auto"/>
              <w:bottom w:val="single" w:sz="4" w:space="0" w:color="000000"/>
              <w:right w:val="nil"/>
            </w:tcBorders>
          </w:tcPr>
          <w:p w:rsidR="001678B0" w:rsidRPr="00E66F40" w:rsidRDefault="001678B0" w:rsidP="001678B0">
            <w:pPr>
              <w:autoSpaceDE w:val="0"/>
              <w:autoSpaceDN w:val="0"/>
              <w:adjustRightInd w:val="0"/>
              <w:jc w:val="both"/>
            </w:pPr>
            <w:r>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4</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tcPr>
          <w:p w:rsidR="001678B0" w:rsidRPr="002B679F" w:rsidRDefault="001678B0" w:rsidP="001678B0">
            <w:pPr>
              <w:autoSpaceDE w:val="0"/>
              <w:autoSpaceDN w:val="0"/>
              <w:adjustRightInd w:val="0"/>
              <w:jc w:val="center"/>
            </w:pPr>
            <w:r>
              <w:t>3</w:t>
            </w:r>
          </w:p>
        </w:tc>
        <w:tc>
          <w:tcPr>
            <w:tcW w:w="920" w:type="pct"/>
            <w:tcBorders>
              <w:top w:val="single" w:sz="4" w:space="0" w:color="000000"/>
              <w:left w:val="single" w:sz="4" w:space="0" w:color="000000"/>
              <w:bottom w:val="single" w:sz="4" w:space="0" w:color="000000"/>
              <w:right w:val="single" w:sz="4" w:space="0" w:color="auto"/>
            </w:tcBorders>
          </w:tcPr>
          <w:p w:rsidR="001678B0" w:rsidRPr="00C12ADA" w:rsidRDefault="001678B0" w:rsidP="001678B0">
            <w:r w:rsidRPr="00C12ADA">
              <w:t>Протез кисти косметический</w:t>
            </w:r>
          </w:p>
        </w:tc>
        <w:tc>
          <w:tcPr>
            <w:tcW w:w="2053" w:type="pct"/>
            <w:tcBorders>
              <w:top w:val="single" w:sz="4" w:space="0" w:color="auto"/>
              <w:left w:val="single" w:sz="4" w:space="0" w:color="auto"/>
              <w:bottom w:val="single" w:sz="4" w:space="0" w:color="auto"/>
              <w:right w:val="single" w:sz="4" w:space="0" w:color="auto"/>
            </w:tcBorders>
          </w:tcPr>
          <w:p w:rsidR="001678B0" w:rsidRPr="00C12ADA" w:rsidRDefault="001678B0" w:rsidP="001678B0">
            <w:pPr>
              <w:jc w:val="both"/>
            </w:pPr>
            <w:r w:rsidRPr="00C12ADA">
              <w:t xml:space="preserve">Протез при частичной ампутации кисти, в том числе протезы пальцев; косметический, функционально-косметический; взрослый, детский (до 10 лет); система управления отсутствует, управление сохранившейся рукой или </w:t>
            </w:r>
            <w:proofErr w:type="spellStart"/>
            <w:r w:rsidRPr="00C12ADA">
              <w:t>противоупором</w:t>
            </w:r>
            <w:proofErr w:type="spellEnd"/>
            <w:r w:rsidRPr="00C12ADA">
              <w:t>; кисть косметическая из ПВХ, узел локоть-предплечье отсутствует; дополнительное РСУ отсутствует; приспособления отсутствуют; оболочка косметическая отсутствует, оболочка косметическая ПВХ/пластизоль, оболочка косметическая силиконовая; гильза отсутствует. Крепление индивидуальное, подгоночное;</w:t>
            </w:r>
          </w:p>
        </w:tc>
        <w:tc>
          <w:tcPr>
            <w:tcW w:w="920" w:type="pct"/>
            <w:tcBorders>
              <w:top w:val="single" w:sz="4" w:space="0" w:color="000000"/>
              <w:left w:val="single" w:sz="4" w:space="0" w:color="auto"/>
              <w:bottom w:val="single" w:sz="4" w:space="0" w:color="000000"/>
              <w:right w:val="nil"/>
            </w:tcBorders>
          </w:tcPr>
          <w:p w:rsidR="001678B0" w:rsidRDefault="001678B0" w:rsidP="001678B0">
            <w:pPr>
              <w:autoSpaceDE w:val="0"/>
              <w:autoSpaceDN w:val="0"/>
              <w:adjustRightInd w:val="0"/>
              <w:jc w:val="both"/>
            </w:pPr>
            <w:r>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20</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tcPr>
          <w:p w:rsidR="001678B0" w:rsidRPr="002B679F" w:rsidRDefault="001678B0" w:rsidP="001678B0">
            <w:pPr>
              <w:autoSpaceDE w:val="0"/>
              <w:autoSpaceDN w:val="0"/>
              <w:adjustRightInd w:val="0"/>
              <w:jc w:val="center"/>
            </w:pPr>
            <w:r>
              <w:t>4</w:t>
            </w:r>
          </w:p>
        </w:tc>
        <w:tc>
          <w:tcPr>
            <w:tcW w:w="920" w:type="pct"/>
            <w:tcBorders>
              <w:top w:val="single" w:sz="4" w:space="0" w:color="000000"/>
              <w:left w:val="single" w:sz="4" w:space="0" w:color="000000"/>
              <w:bottom w:val="single" w:sz="4" w:space="0" w:color="000000"/>
              <w:right w:val="single" w:sz="4" w:space="0" w:color="auto"/>
            </w:tcBorders>
          </w:tcPr>
          <w:p w:rsidR="001678B0" w:rsidRPr="00C12ADA" w:rsidRDefault="001678B0" w:rsidP="001678B0">
            <w:r w:rsidRPr="00C12ADA">
              <w:t>Протез кисти активный (тяговый), в том числе при вычленении и частичном вычленении кисти</w:t>
            </w:r>
          </w:p>
        </w:tc>
        <w:tc>
          <w:tcPr>
            <w:tcW w:w="2053" w:type="pct"/>
            <w:tcBorders>
              <w:top w:val="single" w:sz="4" w:space="0" w:color="auto"/>
              <w:left w:val="single" w:sz="4" w:space="0" w:color="auto"/>
              <w:bottom w:val="single" w:sz="4" w:space="0" w:color="auto"/>
              <w:right w:val="single" w:sz="4" w:space="0" w:color="auto"/>
            </w:tcBorders>
          </w:tcPr>
          <w:p w:rsidR="001678B0" w:rsidRPr="00C12ADA" w:rsidRDefault="001678B0" w:rsidP="001678B0">
            <w:pPr>
              <w:jc w:val="both"/>
            </w:pPr>
            <w:r w:rsidRPr="00C12ADA">
              <w:t xml:space="preserve">Протез кисти активный состоит из каркасных и активных элементов и приемной гильзы, приемная гильза изготавливается по слепку путем </w:t>
            </w:r>
            <w:proofErr w:type="spellStart"/>
            <w:r w:rsidRPr="00C12ADA">
              <w:t>ламинирования</w:t>
            </w:r>
            <w:proofErr w:type="spellEnd"/>
            <w:r w:rsidRPr="00C12ADA">
              <w:t xml:space="preserve">, термопластов. Функция </w:t>
            </w:r>
            <w:proofErr w:type="spellStart"/>
            <w:r w:rsidRPr="00C12ADA">
              <w:t>схвата</w:t>
            </w:r>
            <w:proofErr w:type="spellEnd"/>
            <w:r w:rsidRPr="00C12ADA">
              <w:t xml:space="preserve"> осуществляется за счет движений в лучезапястном </w:t>
            </w:r>
            <w:proofErr w:type="gramStart"/>
            <w:r w:rsidRPr="00C12ADA">
              <w:t xml:space="preserve">суставе.  </w:t>
            </w:r>
            <w:proofErr w:type="gramEnd"/>
          </w:p>
        </w:tc>
        <w:tc>
          <w:tcPr>
            <w:tcW w:w="920" w:type="pct"/>
            <w:tcBorders>
              <w:top w:val="single" w:sz="4" w:space="0" w:color="000000"/>
              <w:left w:val="single" w:sz="4" w:space="0" w:color="auto"/>
              <w:bottom w:val="single" w:sz="4" w:space="0" w:color="000000"/>
              <w:right w:val="nil"/>
            </w:tcBorders>
          </w:tcPr>
          <w:p w:rsidR="001678B0" w:rsidRDefault="001678B0" w:rsidP="001678B0">
            <w:pPr>
              <w:autoSpaceDE w:val="0"/>
              <w:autoSpaceDN w:val="0"/>
              <w:adjustRightInd w:val="0"/>
              <w:jc w:val="both"/>
            </w:pPr>
            <w:r>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3</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tcPr>
          <w:p w:rsidR="001678B0" w:rsidRPr="002B679F" w:rsidRDefault="001678B0" w:rsidP="001678B0">
            <w:pPr>
              <w:autoSpaceDE w:val="0"/>
              <w:autoSpaceDN w:val="0"/>
              <w:adjustRightInd w:val="0"/>
              <w:jc w:val="center"/>
            </w:pPr>
            <w:r>
              <w:t>5</w:t>
            </w:r>
          </w:p>
        </w:tc>
        <w:tc>
          <w:tcPr>
            <w:tcW w:w="920" w:type="pct"/>
            <w:tcBorders>
              <w:top w:val="single" w:sz="4" w:space="0" w:color="000000"/>
              <w:left w:val="single" w:sz="4" w:space="0" w:color="000000"/>
              <w:bottom w:val="single" w:sz="4" w:space="0" w:color="000000"/>
              <w:right w:val="single" w:sz="4" w:space="0" w:color="auto"/>
            </w:tcBorders>
          </w:tcPr>
          <w:p w:rsidR="001678B0" w:rsidRPr="00C12ADA" w:rsidRDefault="001678B0" w:rsidP="001678B0">
            <w:r w:rsidRPr="00C12ADA">
              <w:t>Протез предплечья рабочий</w:t>
            </w:r>
          </w:p>
        </w:tc>
        <w:tc>
          <w:tcPr>
            <w:tcW w:w="2053" w:type="pct"/>
            <w:tcBorders>
              <w:top w:val="single" w:sz="4" w:space="0" w:color="auto"/>
              <w:left w:val="single" w:sz="4" w:space="0" w:color="auto"/>
              <w:bottom w:val="single" w:sz="4" w:space="0" w:color="auto"/>
              <w:right w:val="single" w:sz="4" w:space="0" w:color="auto"/>
            </w:tcBorders>
          </w:tcPr>
          <w:p w:rsidR="001678B0" w:rsidRPr="00C12ADA" w:rsidRDefault="001678B0" w:rsidP="001678B0">
            <w:pPr>
              <w:jc w:val="both"/>
            </w:pPr>
            <w:r w:rsidRPr="00C12ADA">
              <w:t>Протез состоит из гильзы предплечья, комплекта полуфабрикатов для рабочего протеза, набора насадок (по выбору получателя). Приемная пробная гильза по слепку из листового термопласта. Постоянная приемная индивидуальная одинарная гильза по слепку из литьевого слоистого пластика на основе связующих смол, листового термопласта.</w:t>
            </w:r>
          </w:p>
        </w:tc>
        <w:tc>
          <w:tcPr>
            <w:tcW w:w="920" w:type="pct"/>
            <w:tcBorders>
              <w:top w:val="single" w:sz="4" w:space="0" w:color="000000"/>
              <w:left w:val="single" w:sz="4" w:space="0" w:color="auto"/>
              <w:bottom w:val="single" w:sz="4" w:space="0" w:color="000000"/>
              <w:right w:val="nil"/>
            </w:tcBorders>
          </w:tcPr>
          <w:p w:rsidR="001678B0" w:rsidRDefault="001678B0" w:rsidP="001678B0">
            <w:pPr>
              <w:autoSpaceDE w:val="0"/>
              <w:autoSpaceDN w:val="0"/>
              <w:adjustRightInd w:val="0"/>
              <w:jc w:val="both"/>
            </w:pPr>
            <w:r>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1</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tcPr>
          <w:p w:rsidR="001678B0" w:rsidRPr="002B679F" w:rsidRDefault="001678B0" w:rsidP="001678B0">
            <w:pPr>
              <w:autoSpaceDE w:val="0"/>
              <w:autoSpaceDN w:val="0"/>
              <w:adjustRightInd w:val="0"/>
              <w:jc w:val="center"/>
            </w:pPr>
            <w:r>
              <w:t>6</w:t>
            </w:r>
          </w:p>
        </w:tc>
        <w:tc>
          <w:tcPr>
            <w:tcW w:w="920" w:type="pct"/>
            <w:tcBorders>
              <w:top w:val="single" w:sz="4" w:space="0" w:color="000000"/>
              <w:left w:val="single" w:sz="4" w:space="0" w:color="000000"/>
              <w:bottom w:val="single" w:sz="4" w:space="0" w:color="000000"/>
              <w:right w:val="single" w:sz="4" w:space="0" w:color="auto"/>
            </w:tcBorders>
          </w:tcPr>
          <w:p w:rsidR="001678B0" w:rsidRPr="00C12ADA" w:rsidRDefault="001678B0" w:rsidP="001678B0">
            <w:r w:rsidRPr="00C12ADA">
              <w:t>Протез кисти рабочий, в том числе при вычленении и частичном вычленении кисти</w:t>
            </w:r>
          </w:p>
        </w:tc>
        <w:tc>
          <w:tcPr>
            <w:tcW w:w="2053" w:type="pct"/>
            <w:tcBorders>
              <w:top w:val="single" w:sz="4" w:space="0" w:color="auto"/>
              <w:left w:val="single" w:sz="4" w:space="0" w:color="auto"/>
              <w:bottom w:val="single" w:sz="4" w:space="0" w:color="auto"/>
              <w:right w:val="single" w:sz="4" w:space="0" w:color="auto"/>
            </w:tcBorders>
          </w:tcPr>
          <w:p w:rsidR="001678B0" w:rsidRPr="00C12ADA" w:rsidRDefault="001678B0" w:rsidP="001678B0">
            <w:pPr>
              <w:jc w:val="both"/>
            </w:pPr>
            <w:r w:rsidRPr="00C12ADA">
              <w:t xml:space="preserve">Протез кисти рабочий в </w:t>
            </w:r>
            <w:proofErr w:type="spellStart"/>
            <w:r w:rsidRPr="00C12ADA">
              <w:t>т.ч</w:t>
            </w:r>
            <w:proofErr w:type="spellEnd"/>
            <w:r w:rsidRPr="00C12ADA">
              <w:t xml:space="preserve">. при вычленении и частичном вычленении кисти. Взрослый. Приемная гильза из литьевого слоистого пластика на предплечье и кисть. Ротатор кистевой с адаптером для присоединения рабочих насадок, с цилиндрическим хвостовиком. Крепление индивидуальное. В комплект протеза </w:t>
            </w:r>
            <w:r w:rsidRPr="00C12ADA">
              <w:lastRenderedPageBreak/>
              <w:t>входят насадки для осуществления самообслуживания и занятий трудовой деятельностью, устанавливаемых в приемник протеза (комплектация по потребности получателя).</w:t>
            </w:r>
          </w:p>
        </w:tc>
        <w:tc>
          <w:tcPr>
            <w:tcW w:w="920" w:type="pct"/>
            <w:tcBorders>
              <w:top w:val="single" w:sz="4" w:space="0" w:color="000000"/>
              <w:left w:val="single" w:sz="4" w:space="0" w:color="auto"/>
              <w:bottom w:val="single" w:sz="4" w:space="0" w:color="000000"/>
              <w:right w:val="nil"/>
            </w:tcBorders>
          </w:tcPr>
          <w:p w:rsidR="001678B0" w:rsidRDefault="001678B0" w:rsidP="001678B0">
            <w:pPr>
              <w:autoSpaceDE w:val="0"/>
              <w:autoSpaceDN w:val="0"/>
              <w:adjustRightInd w:val="0"/>
              <w:jc w:val="both"/>
            </w:pPr>
            <w:r>
              <w:lastRenderedPageBreak/>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1</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tcPr>
          <w:p w:rsidR="001678B0" w:rsidRPr="002B679F" w:rsidRDefault="001678B0" w:rsidP="001678B0">
            <w:pPr>
              <w:autoSpaceDE w:val="0"/>
              <w:autoSpaceDN w:val="0"/>
              <w:adjustRightInd w:val="0"/>
              <w:jc w:val="center"/>
            </w:pPr>
            <w:r>
              <w:lastRenderedPageBreak/>
              <w:t>7</w:t>
            </w:r>
          </w:p>
        </w:tc>
        <w:tc>
          <w:tcPr>
            <w:tcW w:w="920" w:type="pct"/>
            <w:tcBorders>
              <w:top w:val="single" w:sz="4" w:space="0" w:color="000000"/>
              <w:left w:val="single" w:sz="4" w:space="0" w:color="000000"/>
              <w:bottom w:val="single" w:sz="4" w:space="0" w:color="000000"/>
              <w:right w:val="single" w:sz="4" w:space="0" w:color="auto"/>
            </w:tcBorders>
          </w:tcPr>
          <w:p w:rsidR="001678B0" w:rsidRPr="00C12ADA" w:rsidRDefault="001678B0" w:rsidP="001678B0">
            <w:r w:rsidRPr="00C12ADA">
              <w:t>Протез предплечья активный (тяговый)</w:t>
            </w:r>
          </w:p>
        </w:tc>
        <w:tc>
          <w:tcPr>
            <w:tcW w:w="2053" w:type="pct"/>
            <w:tcBorders>
              <w:top w:val="single" w:sz="4" w:space="0" w:color="auto"/>
              <w:left w:val="single" w:sz="4" w:space="0" w:color="auto"/>
              <w:bottom w:val="single" w:sz="4" w:space="0" w:color="auto"/>
              <w:right w:val="single" w:sz="4" w:space="0" w:color="auto"/>
            </w:tcBorders>
          </w:tcPr>
          <w:p w:rsidR="001678B0" w:rsidRPr="00C12ADA" w:rsidRDefault="001678B0" w:rsidP="001678B0">
            <w:pPr>
              <w:jc w:val="both"/>
            </w:pPr>
            <w:r w:rsidRPr="00C12ADA">
              <w:t xml:space="preserve">Протез предплечья активный, взрослый, детский (до 10 лет); система управления механическая (тяговый), механическая (тяговый) с дополнительной фурнитурой; кисть с гибкой тягой каркасная с активным </w:t>
            </w:r>
            <w:proofErr w:type="spellStart"/>
            <w:r w:rsidRPr="00C12ADA">
              <w:t>схватом</w:t>
            </w:r>
            <w:proofErr w:type="spellEnd"/>
            <w:r w:rsidRPr="00C12ADA">
              <w:t xml:space="preserve"> без ротации, кисть с гибкой тягой каркасная с пружинным </w:t>
            </w:r>
            <w:proofErr w:type="spellStart"/>
            <w:r w:rsidRPr="00C12ADA">
              <w:t>схватом</w:t>
            </w:r>
            <w:proofErr w:type="spellEnd"/>
            <w:r w:rsidRPr="00C12ADA">
              <w:t xml:space="preserve">, пассивной ротацией с бесступенчатой регулируемой </w:t>
            </w:r>
            <w:proofErr w:type="spellStart"/>
            <w:r w:rsidRPr="00C12ADA">
              <w:t>тугоподвижностью</w:t>
            </w:r>
            <w:proofErr w:type="spellEnd"/>
            <w:r w:rsidRPr="00C12ADA">
              <w:t xml:space="preserve"> и фиксацией блока IV – V пальцев, кисть с гибкой тягой каркасная с пружинным </w:t>
            </w:r>
            <w:proofErr w:type="spellStart"/>
            <w:r w:rsidRPr="00C12ADA">
              <w:t>схватом</w:t>
            </w:r>
            <w:proofErr w:type="spellEnd"/>
            <w:r w:rsidRPr="00C12ADA">
              <w:t xml:space="preserve"> без ротации, кисть с гибкой тягой каркасная с активным </w:t>
            </w:r>
            <w:proofErr w:type="spellStart"/>
            <w:r w:rsidRPr="00C12ADA">
              <w:t>схватом</w:t>
            </w:r>
            <w:proofErr w:type="spellEnd"/>
            <w:r w:rsidRPr="00C12ADA">
              <w:t xml:space="preserve">, пассивной ротацией с бесступенчатой регулируемой </w:t>
            </w:r>
            <w:proofErr w:type="spellStart"/>
            <w:r w:rsidRPr="00C12ADA">
              <w:t>тугоподвижностью</w:t>
            </w:r>
            <w:proofErr w:type="spellEnd"/>
            <w:r w:rsidRPr="00C12ADA">
              <w:t xml:space="preserve"> и фиксацией блока IV – V пальцев; узел локоть-предплечье отсутствует, комплект шин для локтевых шарниров;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имеющих адаптер М12х1,5, дополнительное РСУ отсутствует, шарнир кистевой с бесступенчатой изменяемой </w:t>
            </w:r>
            <w:proofErr w:type="spellStart"/>
            <w:r w:rsidRPr="00C12ADA">
              <w:t>тугоподвижностью</w:t>
            </w:r>
            <w:proofErr w:type="spellEnd"/>
            <w:r w:rsidRPr="00C12ADA">
              <w:t xml:space="preserve"> в узле ротации, ротатор кистевой с адаптером, для присоединения кистей косметических, тяговых каркасных без ротации и рабочих насадок, с цилиндрическим хвостовиком диаметром 10 мм; приспособления отсутствуют, комплект рабочих насадок; силиконовая, оболочка косметическая силиконовая с армирующей сеткой, оболочка косметическая ПВХ-</w:t>
            </w:r>
            <w:proofErr w:type="spellStart"/>
            <w:r w:rsidRPr="00C12ADA">
              <w:t>пластизоля</w:t>
            </w:r>
            <w:proofErr w:type="spellEnd"/>
            <w:r w:rsidRPr="00C12ADA">
              <w:t>; гильза индивидуальная одинарная, гильза индивидуальная составная, гильза геометрическая, копия сохранившейся руки; материал гильзы: литьевой слоистый пластик на основе связующих смол, листовой термопластичный пластик, модуль при вычленении плеча отсутствует; крепление индивидуальное, подгоночное, специальное.</w:t>
            </w:r>
          </w:p>
        </w:tc>
        <w:tc>
          <w:tcPr>
            <w:tcW w:w="920" w:type="pct"/>
            <w:tcBorders>
              <w:top w:val="single" w:sz="4" w:space="0" w:color="000000"/>
              <w:left w:val="single" w:sz="4" w:space="0" w:color="auto"/>
              <w:bottom w:val="single" w:sz="4" w:space="0" w:color="000000"/>
              <w:right w:val="nil"/>
            </w:tcBorders>
          </w:tcPr>
          <w:p w:rsidR="001678B0" w:rsidRDefault="001678B0" w:rsidP="001678B0">
            <w:pPr>
              <w:autoSpaceDE w:val="0"/>
              <w:autoSpaceDN w:val="0"/>
              <w:adjustRightInd w:val="0"/>
              <w:jc w:val="both"/>
            </w:pPr>
            <w:r w:rsidRPr="00C12ADA">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2</w:t>
            </w:r>
          </w:p>
        </w:tc>
      </w:tr>
      <w:tr w:rsidR="001678B0" w:rsidRPr="00C937D4" w:rsidTr="00C937D4">
        <w:trPr>
          <w:trHeight w:val="257"/>
        </w:trPr>
        <w:tc>
          <w:tcPr>
            <w:tcW w:w="328" w:type="pct"/>
            <w:tcBorders>
              <w:top w:val="single" w:sz="4" w:space="0" w:color="000000"/>
              <w:left w:val="single" w:sz="4" w:space="0" w:color="000000"/>
              <w:bottom w:val="single" w:sz="4" w:space="0" w:color="000000"/>
              <w:right w:val="nil"/>
            </w:tcBorders>
          </w:tcPr>
          <w:p w:rsidR="001678B0" w:rsidRPr="002B679F" w:rsidRDefault="001678B0" w:rsidP="001678B0">
            <w:pPr>
              <w:autoSpaceDE w:val="0"/>
              <w:autoSpaceDN w:val="0"/>
              <w:adjustRightInd w:val="0"/>
              <w:jc w:val="center"/>
            </w:pPr>
            <w:r>
              <w:lastRenderedPageBreak/>
              <w:t>8</w:t>
            </w:r>
          </w:p>
        </w:tc>
        <w:tc>
          <w:tcPr>
            <w:tcW w:w="920" w:type="pct"/>
            <w:tcBorders>
              <w:top w:val="single" w:sz="4" w:space="0" w:color="000000"/>
              <w:left w:val="single" w:sz="4" w:space="0" w:color="000000"/>
              <w:bottom w:val="single" w:sz="4" w:space="0" w:color="000000"/>
              <w:right w:val="single" w:sz="4" w:space="0" w:color="auto"/>
            </w:tcBorders>
          </w:tcPr>
          <w:p w:rsidR="001678B0" w:rsidRPr="003F744C" w:rsidRDefault="001678B0" w:rsidP="001678B0">
            <w:r w:rsidRPr="003F744C">
              <w:t>Протез плеча активный (тяговый)</w:t>
            </w:r>
          </w:p>
        </w:tc>
        <w:tc>
          <w:tcPr>
            <w:tcW w:w="2053" w:type="pct"/>
            <w:tcBorders>
              <w:top w:val="single" w:sz="4" w:space="0" w:color="auto"/>
              <w:left w:val="single" w:sz="4" w:space="0" w:color="auto"/>
              <w:bottom w:val="single" w:sz="4" w:space="0" w:color="auto"/>
              <w:right w:val="single" w:sz="4" w:space="0" w:color="auto"/>
            </w:tcBorders>
          </w:tcPr>
          <w:p w:rsidR="001678B0" w:rsidRPr="003F744C" w:rsidRDefault="001678B0" w:rsidP="001678B0">
            <w:pPr>
              <w:jc w:val="both"/>
            </w:pPr>
            <w:r w:rsidRPr="003F744C">
              <w:t xml:space="preserve">Протез плеча активный индивидуального изготовления. Пробная приемная </w:t>
            </w:r>
            <w:proofErr w:type="gramStart"/>
            <w:r w:rsidRPr="003F744C">
              <w:t>гильза  изготавливается</w:t>
            </w:r>
            <w:proofErr w:type="gramEnd"/>
            <w:r w:rsidRPr="003F744C">
              <w:t xml:space="preserve"> по слепку из термопласта; постоянная приемная гильза по слепку из литьевого слоистого пластика на </w:t>
            </w:r>
            <w:bookmarkStart w:id="0" w:name="_GoBack"/>
            <w:bookmarkEnd w:id="0"/>
            <w:r w:rsidRPr="003F744C">
              <w:t xml:space="preserve">основе акриловых смол. Локтевой узел </w:t>
            </w:r>
            <w:proofErr w:type="spellStart"/>
            <w:r w:rsidRPr="003F744C">
              <w:t>экзоскелетного</w:t>
            </w:r>
            <w:proofErr w:type="spellEnd"/>
            <w:r w:rsidRPr="003F744C">
              <w:t xml:space="preserve"> типа активный с бесступенчатой фиксацией с пассивной ротацией плеча с контролируемым опусканием </w:t>
            </w:r>
            <w:proofErr w:type="spellStart"/>
            <w:proofErr w:type="gramStart"/>
            <w:r w:rsidRPr="003F744C">
              <w:t>предплечь,локтевой</w:t>
            </w:r>
            <w:proofErr w:type="spellEnd"/>
            <w:proofErr w:type="gramEnd"/>
            <w:r w:rsidRPr="003F744C">
              <w:t xml:space="preserve"> узел </w:t>
            </w:r>
            <w:proofErr w:type="spellStart"/>
            <w:r w:rsidRPr="003F744C">
              <w:t>экзоскелетного</w:t>
            </w:r>
            <w:proofErr w:type="spellEnd"/>
            <w:r w:rsidRPr="003F744C">
              <w:t xml:space="preserve"> типа с ручной фиксацией локтя и вращающимся плечевым шарниром. Модуль </w:t>
            </w:r>
            <w:proofErr w:type="spellStart"/>
            <w:r w:rsidRPr="003F744C">
              <w:t>искуственной</w:t>
            </w:r>
            <w:proofErr w:type="spellEnd"/>
            <w:r w:rsidRPr="003F744C">
              <w:t xml:space="preserve"> кисти с узлом пассивной ротации с тяговым управлением. Косметические оболочки из ПВХ-</w:t>
            </w:r>
            <w:proofErr w:type="spellStart"/>
            <w:r w:rsidRPr="003F744C">
              <w:t>пластизоля</w:t>
            </w:r>
            <w:proofErr w:type="spellEnd"/>
            <w:r w:rsidRPr="003F744C">
              <w:t xml:space="preserve"> Крепление индивидуальное.</w:t>
            </w:r>
          </w:p>
        </w:tc>
        <w:tc>
          <w:tcPr>
            <w:tcW w:w="920" w:type="pct"/>
            <w:tcBorders>
              <w:top w:val="single" w:sz="4" w:space="0" w:color="000000"/>
              <w:left w:val="single" w:sz="4" w:space="0" w:color="auto"/>
              <w:bottom w:val="single" w:sz="4" w:space="0" w:color="000000"/>
              <w:right w:val="nil"/>
            </w:tcBorders>
          </w:tcPr>
          <w:p w:rsidR="001678B0" w:rsidRPr="00C12ADA" w:rsidRDefault="001678B0" w:rsidP="001678B0">
            <w:pPr>
              <w:autoSpaceDE w:val="0"/>
              <w:autoSpaceDN w:val="0"/>
              <w:adjustRightInd w:val="0"/>
              <w:jc w:val="both"/>
            </w:pPr>
            <w:r w:rsidRPr="00C12ADA">
              <w:t>Соответствует</w:t>
            </w:r>
          </w:p>
        </w:tc>
        <w:tc>
          <w:tcPr>
            <w:tcW w:w="425" w:type="pct"/>
            <w:tcBorders>
              <w:top w:val="single" w:sz="4" w:space="0" w:color="auto"/>
              <w:left w:val="single" w:sz="4" w:space="0" w:color="000000"/>
              <w:bottom w:val="single" w:sz="4" w:space="0" w:color="auto"/>
              <w:right w:val="single" w:sz="4" w:space="0" w:color="auto"/>
            </w:tcBorders>
          </w:tcPr>
          <w:p w:rsidR="001678B0" w:rsidRPr="003C0632" w:rsidRDefault="001678B0" w:rsidP="001678B0">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1678B0" w:rsidRDefault="001678B0" w:rsidP="001678B0">
            <w:pPr>
              <w:autoSpaceDE w:val="0"/>
              <w:autoSpaceDN w:val="0"/>
              <w:adjustRightInd w:val="0"/>
              <w:jc w:val="center"/>
            </w:pPr>
            <w:r>
              <w:t>1</w:t>
            </w:r>
          </w:p>
        </w:tc>
      </w:tr>
    </w:tbl>
    <w:p w:rsidR="00C937D4" w:rsidRDefault="00C937D4" w:rsidP="009A4C9B">
      <w:pPr>
        <w:spacing w:after="160" w:line="259" w:lineRule="auto"/>
        <w:jc w:val="both"/>
      </w:pPr>
    </w:p>
    <w:p w:rsidR="002B679F" w:rsidRDefault="002B679F" w:rsidP="002B679F">
      <w:pPr>
        <w:autoSpaceDE w:val="0"/>
        <w:autoSpaceDN w:val="0"/>
        <w:adjustRightInd w:val="0"/>
        <w:ind w:firstLine="708"/>
        <w:jc w:val="both"/>
      </w:pPr>
      <w:r w:rsidRPr="00EB3E6F">
        <w:t>Соответс</w:t>
      </w:r>
      <w:r>
        <w:t>твие ГОСТа: ГОСТ ISO 10993-1-202</w:t>
      </w:r>
      <w:r w:rsidRPr="00EB3E6F">
        <w:t xml:space="preserve">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EB3E6F">
        <w:t>цитотоксичность</w:t>
      </w:r>
      <w:proofErr w:type="spellEnd"/>
      <w:r w:rsidRPr="00EB3E6F">
        <w:t xml:space="preserve">: методы </w:t>
      </w:r>
      <w:proofErr w:type="spellStart"/>
      <w:r w:rsidRPr="00EB3E6F">
        <w:t>in</w:t>
      </w:r>
      <w:proofErr w:type="spellEnd"/>
      <w:r w:rsidRPr="00EB3E6F">
        <w:t xml:space="preserve"> </w:t>
      </w:r>
      <w:proofErr w:type="spellStart"/>
      <w:r w:rsidRPr="00EB3E6F">
        <w:t>vitro</w:t>
      </w:r>
      <w:proofErr w:type="spellEnd"/>
      <w:r w:rsidRPr="00EB3E6F">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EB3E6F">
        <w:t>ортезы</w:t>
      </w:r>
      <w:proofErr w:type="spellEnd"/>
      <w:r w:rsidRPr="00EB3E6F">
        <w:t xml:space="preserve"> наружные требования и методы испытаний»</w:t>
      </w:r>
    </w:p>
    <w:p w:rsidR="002B679F" w:rsidRDefault="002B679F" w:rsidP="002B679F">
      <w:pPr>
        <w:autoSpaceDE w:val="0"/>
        <w:autoSpaceDN w:val="0"/>
        <w:adjustRightInd w:val="0"/>
        <w:jc w:val="both"/>
      </w:pPr>
    </w:p>
    <w:p w:rsidR="00126DEB" w:rsidRDefault="00126DEB" w:rsidP="00C937D4">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B0" w:rsidRDefault="002F1BB0" w:rsidP="00D7115C">
      <w:r>
        <w:separator/>
      </w:r>
    </w:p>
  </w:endnote>
  <w:endnote w:type="continuationSeparator" w:id="0">
    <w:p w:rsidR="002F1BB0" w:rsidRDefault="002F1BB0"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B0" w:rsidRDefault="002F1BB0" w:rsidP="00D7115C">
      <w:r>
        <w:separator/>
      </w:r>
    </w:p>
  </w:footnote>
  <w:footnote w:type="continuationSeparator" w:id="0">
    <w:p w:rsidR="002F1BB0" w:rsidRDefault="002F1BB0" w:rsidP="00D7115C">
      <w:r>
        <w:continuationSeparator/>
      </w:r>
    </w:p>
  </w:footnote>
  <w:footnote w:id="1">
    <w:p w:rsidR="00C937D4" w:rsidRDefault="00C937D4"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2">
    <w:p w:rsidR="00C937D4" w:rsidRPr="00985908" w:rsidRDefault="00C937D4"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991D06"/>
    <w:multiLevelType w:val="hybridMultilevel"/>
    <w:tmpl w:val="37C00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9"/>
  </w:num>
  <w:num w:numId="4">
    <w:abstractNumId w:val="13"/>
  </w:num>
  <w:num w:numId="5">
    <w:abstractNumId w:val="28"/>
  </w:num>
  <w:num w:numId="6">
    <w:abstractNumId w:val="27"/>
  </w:num>
  <w:num w:numId="7">
    <w:abstractNumId w:val="22"/>
  </w:num>
  <w:num w:numId="8">
    <w:abstractNumId w:val="14"/>
  </w:num>
  <w:num w:numId="9">
    <w:abstractNumId w:val="11"/>
  </w:num>
  <w:num w:numId="10">
    <w:abstractNumId w:val="7"/>
  </w:num>
  <w:num w:numId="11">
    <w:abstractNumId w:val="25"/>
  </w:num>
  <w:num w:numId="12">
    <w:abstractNumId w:val="8"/>
  </w:num>
  <w:num w:numId="13">
    <w:abstractNumId w:val="29"/>
  </w:num>
  <w:num w:numId="14">
    <w:abstractNumId w:val="30"/>
  </w:num>
  <w:num w:numId="15">
    <w:abstractNumId w:val="20"/>
  </w:num>
  <w:num w:numId="16">
    <w:abstractNumId w:val="15"/>
  </w:num>
  <w:num w:numId="17">
    <w:abstractNumId w:val="10"/>
  </w:num>
  <w:num w:numId="18">
    <w:abstractNumId w:val="4"/>
  </w:num>
  <w:num w:numId="19">
    <w:abstractNumId w:val="16"/>
  </w:num>
  <w:num w:numId="20">
    <w:abstractNumId w:val="5"/>
  </w:num>
  <w:num w:numId="21">
    <w:abstractNumId w:val="0"/>
  </w:num>
  <w:num w:numId="22">
    <w:abstractNumId w:val="26"/>
  </w:num>
  <w:num w:numId="23">
    <w:abstractNumId w:val="18"/>
  </w:num>
  <w:num w:numId="24">
    <w:abstractNumId w:val="23"/>
  </w:num>
  <w:num w:numId="25">
    <w:abstractNumId w:val="24"/>
  </w:num>
  <w:num w:numId="26">
    <w:abstractNumId w:val="12"/>
  </w:num>
  <w:num w:numId="27">
    <w:abstractNumId w:val="17"/>
  </w:num>
  <w:num w:numId="28">
    <w:abstractNumId w:val="21"/>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678B0"/>
    <w:rsid w:val="00195EEB"/>
    <w:rsid w:val="001A1B23"/>
    <w:rsid w:val="001C1494"/>
    <w:rsid w:val="00251D72"/>
    <w:rsid w:val="00292377"/>
    <w:rsid w:val="002B679F"/>
    <w:rsid w:val="002F1BB0"/>
    <w:rsid w:val="002F3549"/>
    <w:rsid w:val="00310864"/>
    <w:rsid w:val="003210F2"/>
    <w:rsid w:val="0032596B"/>
    <w:rsid w:val="003322AA"/>
    <w:rsid w:val="00333A18"/>
    <w:rsid w:val="003C0632"/>
    <w:rsid w:val="003D486E"/>
    <w:rsid w:val="003E36EE"/>
    <w:rsid w:val="003F05F6"/>
    <w:rsid w:val="00427C62"/>
    <w:rsid w:val="00457089"/>
    <w:rsid w:val="004667AA"/>
    <w:rsid w:val="004B058A"/>
    <w:rsid w:val="004B776F"/>
    <w:rsid w:val="004C04C5"/>
    <w:rsid w:val="004C1D05"/>
    <w:rsid w:val="004D497F"/>
    <w:rsid w:val="004F2140"/>
    <w:rsid w:val="0054353B"/>
    <w:rsid w:val="00585EDA"/>
    <w:rsid w:val="005935A0"/>
    <w:rsid w:val="005D4418"/>
    <w:rsid w:val="005F2386"/>
    <w:rsid w:val="0064079A"/>
    <w:rsid w:val="006748AA"/>
    <w:rsid w:val="006979DE"/>
    <w:rsid w:val="006F603A"/>
    <w:rsid w:val="007214BD"/>
    <w:rsid w:val="007670F9"/>
    <w:rsid w:val="007A0C01"/>
    <w:rsid w:val="007C105E"/>
    <w:rsid w:val="007F2A0B"/>
    <w:rsid w:val="00812F5F"/>
    <w:rsid w:val="00842A50"/>
    <w:rsid w:val="00852E8C"/>
    <w:rsid w:val="00896D3D"/>
    <w:rsid w:val="008A00DE"/>
    <w:rsid w:val="008A35F0"/>
    <w:rsid w:val="008D1CE7"/>
    <w:rsid w:val="009226AD"/>
    <w:rsid w:val="009277FE"/>
    <w:rsid w:val="009A4C9B"/>
    <w:rsid w:val="009C26AF"/>
    <w:rsid w:val="00A10A2B"/>
    <w:rsid w:val="00A520C7"/>
    <w:rsid w:val="00A54B05"/>
    <w:rsid w:val="00A978CB"/>
    <w:rsid w:val="00AC04AF"/>
    <w:rsid w:val="00AD58F0"/>
    <w:rsid w:val="00B201AE"/>
    <w:rsid w:val="00B45B9E"/>
    <w:rsid w:val="00B63052"/>
    <w:rsid w:val="00BB7977"/>
    <w:rsid w:val="00BD0B4D"/>
    <w:rsid w:val="00BE167F"/>
    <w:rsid w:val="00C13BAF"/>
    <w:rsid w:val="00C1613C"/>
    <w:rsid w:val="00C53ADA"/>
    <w:rsid w:val="00C937D4"/>
    <w:rsid w:val="00CA3011"/>
    <w:rsid w:val="00CA4582"/>
    <w:rsid w:val="00CB0C96"/>
    <w:rsid w:val="00CB473D"/>
    <w:rsid w:val="00CC1AB3"/>
    <w:rsid w:val="00CE28E3"/>
    <w:rsid w:val="00CF1971"/>
    <w:rsid w:val="00D01082"/>
    <w:rsid w:val="00D20ED9"/>
    <w:rsid w:val="00D7115C"/>
    <w:rsid w:val="00D8164D"/>
    <w:rsid w:val="00D865A8"/>
    <w:rsid w:val="00DB3240"/>
    <w:rsid w:val="00DC4D5C"/>
    <w:rsid w:val="00E35808"/>
    <w:rsid w:val="00E46D81"/>
    <w:rsid w:val="00E74FCE"/>
    <w:rsid w:val="00ED4626"/>
    <w:rsid w:val="00F20102"/>
    <w:rsid w:val="00F34F37"/>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59</cp:revision>
  <dcterms:created xsi:type="dcterms:W3CDTF">2020-08-12T05:43:00Z</dcterms:created>
  <dcterms:modified xsi:type="dcterms:W3CDTF">2022-05-26T07:07:00Z</dcterms:modified>
</cp:coreProperties>
</file>