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3E7108" w:rsidRDefault="005F7457" w:rsidP="00BF5239">
      <w:pPr>
        <w:keepLines/>
        <w:widowControl w:val="0"/>
        <w:jc w:val="center"/>
        <w:rPr>
          <w:b/>
          <w:szCs w:val="24"/>
        </w:rPr>
      </w:pPr>
      <w:r w:rsidRPr="003E7108">
        <w:rPr>
          <w:b/>
          <w:szCs w:val="24"/>
        </w:rPr>
        <w:t>Техническое задание</w:t>
      </w:r>
      <w:r w:rsidR="00BF7B4A" w:rsidRPr="003E7108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E23A0BA" w14:textId="4838C287" w:rsidR="003E7108" w:rsidRPr="003E7108" w:rsidRDefault="003E7108" w:rsidP="003E7108">
      <w:pPr>
        <w:keepLines/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3E7108">
        <w:rPr>
          <w:szCs w:val="24"/>
        </w:rPr>
        <w:t xml:space="preserve">Поставка катетеров для </w:t>
      </w:r>
      <w:proofErr w:type="spellStart"/>
      <w:r w:rsidRPr="003E7108">
        <w:rPr>
          <w:szCs w:val="24"/>
        </w:rPr>
        <w:t>эпицистостомы</w:t>
      </w:r>
      <w:proofErr w:type="spellEnd"/>
      <w:r w:rsidRPr="003E7108">
        <w:rPr>
          <w:szCs w:val="24"/>
        </w:rPr>
        <w:t xml:space="preserve"> для инвалидов </w:t>
      </w:r>
      <w:r w:rsidR="00DB00FE">
        <w:rPr>
          <w:szCs w:val="24"/>
        </w:rPr>
        <w:t>Краснодарского края в 2023 году</w:t>
      </w:r>
    </w:p>
    <w:tbl>
      <w:tblPr>
        <w:tblStyle w:val="affff2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42"/>
        <w:gridCol w:w="1836"/>
        <w:gridCol w:w="7902"/>
        <w:gridCol w:w="961"/>
        <w:gridCol w:w="680"/>
        <w:gridCol w:w="1369"/>
        <w:gridCol w:w="1496"/>
      </w:tblGrid>
      <w:tr w:rsidR="003E7108" w:rsidRPr="003E7108" w14:paraId="1859D61A" w14:textId="77777777" w:rsidTr="003E7108">
        <w:tc>
          <w:tcPr>
            <w:tcW w:w="183" w:type="pct"/>
          </w:tcPr>
          <w:p w14:paraId="77D9E70B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№ п/п</w:t>
            </w:r>
          </w:p>
        </w:tc>
        <w:tc>
          <w:tcPr>
            <w:tcW w:w="621" w:type="pct"/>
          </w:tcPr>
          <w:p w14:paraId="0FA40987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672" w:type="pct"/>
          </w:tcPr>
          <w:p w14:paraId="230E31F3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Описание объекта закупки</w:t>
            </w:r>
          </w:p>
        </w:tc>
        <w:tc>
          <w:tcPr>
            <w:tcW w:w="325" w:type="pct"/>
          </w:tcPr>
          <w:p w14:paraId="729EE9B4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 xml:space="preserve">Кол-во </w:t>
            </w:r>
          </w:p>
        </w:tc>
        <w:tc>
          <w:tcPr>
            <w:tcW w:w="230" w:type="pct"/>
          </w:tcPr>
          <w:p w14:paraId="55788198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Ед. изм.</w:t>
            </w:r>
          </w:p>
        </w:tc>
        <w:tc>
          <w:tcPr>
            <w:tcW w:w="463" w:type="pct"/>
          </w:tcPr>
          <w:p w14:paraId="0B1090F1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Цена за ед. изм.</w:t>
            </w:r>
            <w:r w:rsidRPr="003E7108">
              <w:rPr>
                <w:rStyle w:val="affff6"/>
                <w:szCs w:val="24"/>
              </w:rPr>
              <w:footnoteReference w:id="1"/>
            </w:r>
            <w:r w:rsidRPr="003E7108">
              <w:rPr>
                <w:szCs w:val="24"/>
              </w:rPr>
              <w:t>, руб.</w:t>
            </w:r>
          </w:p>
        </w:tc>
        <w:tc>
          <w:tcPr>
            <w:tcW w:w="507" w:type="pct"/>
          </w:tcPr>
          <w:p w14:paraId="15953689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Цена по позиции</w:t>
            </w:r>
            <w:r w:rsidRPr="003E7108">
              <w:rPr>
                <w:rStyle w:val="affff6"/>
                <w:szCs w:val="24"/>
              </w:rPr>
              <w:footnoteReference w:id="2"/>
            </w:r>
            <w:r w:rsidRPr="003E7108">
              <w:rPr>
                <w:szCs w:val="24"/>
              </w:rPr>
              <w:t>, руб.</w:t>
            </w:r>
          </w:p>
        </w:tc>
      </w:tr>
      <w:tr w:rsidR="003E7108" w:rsidRPr="003E7108" w14:paraId="1AA5DEC1" w14:textId="77777777" w:rsidTr="003E7108">
        <w:trPr>
          <w:trHeight w:val="1691"/>
        </w:trPr>
        <w:tc>
          <w:tcPr>
            <w:tcW w:w="183" w:type="pct"/>
          </w:tcPr>
          <w:p w14:paraId="49775CFD" w14:textId="77777777" w:rsidR="003E7108" w:rsidRPr="003E7108" w:rsidRDefault="003E7108" w:rsidP="006C7A09">
            <w:pPr>
              <w:keepLines/>
              <w:rPr>
                <w:szCs w:val="24"/>
              </w:rPr>
            </w:pPr>
            <w:r w:rsidRPr="003E7108">
              <w:rPr>
                <w:szCs w:val="24"/>
              </w:rPr>
              <w:t>1</w:t>
            </w:r>
          </w:p>
        </w:tc>
        <w:tc>
          <w:tcPr>
            <w:tcW w:w="621" w:type="pct"/>
          </w:tcPr>
          <w:p w14:paraId="2B1F7543" w14:textId="77777777" w:rsidR="003E7108" w:rsidRPr="003E7108" w:rsidRDefault="003E7108" w:rsidP="006C7A09">
            <w:pPr>
              <w:jc w:val="center"/>
              <w:rPr>
                <w:szCs w:val="24"/>
              </w:rPr>
            </w:pPr>
            <w:r w:rsidRPr="003E7108">
              <w:rPr>
                <w:szCs w:val="24"/>
              </w:rPr>
              <w:t xml:space="preserve">Катетер для </w:t>
            </w:r>
            <w:proofErr w:type="spellStart"/>
            <w:r w:rsidRPr="003E7108">
              <w:rPr>
                <w:szCs w:val="24"/>
              </w:rPr>
              <w:t>эпицистостомы</w:t>
            </w:r>
            <w:proofErr w:type="spellEnd"/>
          </w:p>
        </w:tc>
        <w:tc>
          <w:tcPr>
            <w:tcW w:w="2672" w:type="pct"/>
          </w:tcPr>
          <w:p w14:paraId="70E26134" w14:textId="77777777" w:rsidR="003E7108" w:rsidRPr="003E7108" w:rsidRDefault="003E7108" w:rsidP="006C7A09">
            <w:pPr>
              <w:keepNext/>
              <w:keepLines/>
              <w:jc w:val="both"/>
              <w:rPr>
                <w:szCs w:val="24"/>
              </w:rPr>
            </w:pPr>
            <w:r w:rsidRPr="003E7108">
              <w:rPr>
                <w:rFonts w:eastAsiaTheme="minorHAnsi"/>
                <w:szCs w:val="24"/>
                <w:lang w:eastAsia="en-US"/>
              </w:rPr>
              <w:t xml:space="preserve">Катетер для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эпицистомы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(катетер уретральный длительного пользования) должен состоять из трубки с усиленной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неперекручивающейся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стенкой, которая заканчивается прочным гладким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атравматичным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слепым концом (пузырный, проксимальный) - с одной стороны и воронкообразным расширением для подключения к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мочеприемному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устройству - с другой. На дистальном конце катетера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должнен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быть порт c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цветомаркированным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коннектором для раздувания баллона (сбоку), маркировка объема баллона, размера и материала покрытия, максимального объема заполнения баллона.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Нипельный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клапан порта должен быть предназначен для наполнения баллона стерильной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дистилированной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водой шприцем без иглы и исключать утечку воды. У проксимального конца катетера - должен быть прочный и симметричный баллон для наполнения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дистилированной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водой или водой для инъекций. Вблизи пузырного конца катетера - гладкие боковые овальные дренажные отверстия.  Длина катетера не менее 230мм и не более 400 мм. СH 8-30, баллон объемом 5-30 </w:t>
            </w:r>
            <w:proofErr w:type="spellStart"/>
            <w:proofErr w:type="gramStart"/>
            <w:r w:rsidRPr="003E7108">
              <w:rPr>
                <w:rFonts w:eastAsiaTheme="minorHAnsi"/>
                <w:szCs w:val="24"/>
                <w:lang w:eastAsia="en-US"/>
              </w:rPr>
              <w:t>куб.мм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>..</w:t>
            </w:r>
            <w:proofErr w:type="gramEnd"/>
            <w:r w:rsidRPr="003E7108">
              <w:rPr>
                <w:rFonts w:eastAsiaTheme="minorHAnsi"/>
                <w:szCs w:val="24"/>
                <w:lang w:eastAsia="en-US"/>
              </w:rPr>
              <w:t xml:space="preserve"> Упакован в развернутом виде, что позволит вводить катетер прямо из пакета, не прикасаясь к нему. Стерильная упаковка -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</w:t>
            </w:r>
          </w:p>
        </w:tc>
        <w:tc>
          <w:tcPr>
            <w:tcW w:w="325" w:type="pct"/>
          </w:tcPr>
          <w:p w14:paraId="37B80E3D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22000</w:t>
            </w:r>
          </w:p>
        </w:tc>
        <w:tc>
          <w:tcPr>
            <w:tcW w:w="230" w:type="pct"/>
          </w:tcPr>
          <w:p w14:paraId="2B0707DD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Шт.</w:t>
            </w:r>
          </w:p>
        </w:tc>
        <w:tc>
          <w:tcPr>
            <w:tcW w:w="463" w:type="pct"/>
          </w:tcPr>
          <w:p w14:paraId="47C56A9F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89,33</w:t>
            </w:r>
          </w:p>
        </w:tc>
        <w:tc>
          <w:tcPr>
            <w:tcW w:w="507" w:type="pct"/>
          </w:tcPr>
          <w:p w14:paraId="7B983E95" w14:textId="77777777" w:rsidR="003E7108" w:rsidRPr="003E7108" w:rsidRDefault="003E7108" w:rsidP="006C7A09">
            <w:pPr>
              <w:keepLines/>
              <w:jc w:val="both"/>
              <w:rPr>
                <w:szCs w:val="24"/>
                <w:highlight w:val="yellow"/>
              </w:rPr>
            </w:pPr>
            <w:r w:rsidRPr="003E7108">
              <w:rPr>
                <w:szCs w:val="24"/>
              </w:rPr>
              <w:t>1 965 260,00</w:t>
            </w:r>
          </w:p>
        </w:tc>
      </w:tr>
      <w:tr w:rsidR="003E7108" w:rsidRPr="003E7108" w14:paraId="2D93905E" w14:textId="77777777" w:rsidTr="00994DA3">
        <w:trPr>
          <w:trHeight w:val="1443"/>
        </w:trPr>
        <w:tc>
          <w:tcPr>
            <w:tcW w:w="183" w:type="pct"/>
          </w:tcPr>
          <w:p w14:paraId="685F5911" w14:textId="77777777" w:rsidR="003E7108" w:rsidRPr="003E7108" w:rsidRDefault="003E7108" w:rsidP="006C7A09">
            <w:pPr>
              <w:keepLines/>
              <w:rPr>
                <w:szCs w:val="24"/>
              </w:rPr>
            </w:pPr>
            <w:bookmarkStart w:id="0" w:name="_GoBack" w:colFirst="6" w:colLast="6"/>
            <w:r w:rsidRPr="003E7108">
              <w:rPr>
                <w:szCs w:val="24"/>
              </w:rPr>
              <w:t>2</w:t>
            </w:r>
          </w:p>
        </w:tc>
        <w:tc>
          <w:tcPr>
            <w:tcW w:w="621" w:type="pct"/>
          </w:tcPr>
          <w:p w14:paraId="0CD69BEB" w14:textId="77777777" w:rsidR="003E7108" w:rsidRPr="003E7108" w:rsidRDefault="003E7108" w:rsidP="006C7A09">
            <w:pPr>
              <w:jc w:val="center"/>
              <w:rPr>
                <w:szCs w:val="24"/>
              </w:rPr>
            </w:pPr>
            <w:r w:rsidRPr="003E7108">
              <w:rPr>
                <w:szCs w:val="24"/>
              </w:rPr>
              <w:t xml:space="preserve">Катетер для </w:t>
            </w:r>
            <w:proofErr w:type="spellStart"/>
            <w:r w:rsidRPr="003E7108">
              <w:rPr>
                <w:szCs w:val="24"/>
              </w:rPr>
              <w:t>эпицистостомы</w:t>
            </w:r>
            <w:proofErr w:type="spellEnd"/>
          </w:p>
        </w:tc>
        <w:tc>
          <w:tcPr>
            <w:tcW w:w="2672" w:type="pct"/>
          </w:tcPr>
          <w:p w14:paraId="20283979" w14:textId="77777777" w:rsidR="003E7108" w:rsidRPr="003E7108" w:rsidRDefault="003E7108" w:rsidP="006C7A09">
            <w:pPr>
              <w:keepNext/>
              <w:keepLines/>
              <w:jc w:val="both"/>
              <w:rPr>
                <w:rFonts w:eastAsiaTheme="minorHAnsi"/>
                <w:szCs w:val="24"/>
                <w:lang w:eastAsia="en-US"/>
              </w:rPr>
            </w:pPr>
            <w:r w:rsidRPr="003E7108">
              <w:rPr>
                <w:rFonts w:eastAsiaTheme="minorHAnsi"/>
                <w:szCs w:val="24"/>
                <w:lang w:eastAsia="en-US"/>
              </w:rPr>
              <w:t xml:space="preserve">Катетер для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эпицистомы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 xml:space="preserve"> (катетер </w:t>
            </w:r>
            <w:proofErr w:type="spellStart"/>
            <w:r w:rsidRPr="003E7108">
              <w:rPr>
                <w:rFonts w:eastAsiaTheme="minorHAnsi"/>
                <w:szCs w:val="24"/>
                <w:lang w:eastAsia="en-US"/>
              </w:rPr>
              <w:t>Пеццера</w:t>
            </w:r>
            <w:proofErr w:type="spellEnd"/>
            <w:r w:rsidRPr="003E7108">
              <w:rPr>
                <w:rFonts w:eastAsiaTheme="minorHAnsi"/>
                <w:szCs w:val="24"/>
                <w:lang w:eastAsia="en-US"/>
              </w:rPr>
              <w:t>, уретральный постоянного пользования) должен быть различных размеров не менее 10 мм не более 36 мм, с универсальным коннектором для присоединения мочеприемника, материал мягкий латекс. (Размер в зависимости от потребности Получателя). Соответствие</w:t>
            </w:r>
          </w:p>
        </w:tc>
        <w:tc>
          <w:tcPr>
            <w:tcW w:w="325" w:type="pct"/>
          </w:tcPr>
          <w:p w14:paraId="4231AC27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1680</w:t>
            </w:r>
          </w:p>
        </w:tc>
        <w:tc>
          <w:tcPr>
            <w:tcW w:w="230" w:type="pct"/>
          </w:tcPr>
          <w:p w14:paraId="06A61BCE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Шт.</w:t>
            </w:r>
          </w:p>
        </w:tc>
        <w:tc>
          <w:tcPr>
            <w:tcW w:w="463" w:type="pct"/>
          </w:tcPr>
          <w:p w14:paraId="2D8553D3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  <w:r w:rsidRPr="003E7108">
              <w:rPr>
                <w:szCs w:val="24"/>
              </w:rPr>
              <w:t>64,70</w:t>
            </w:r>
          </w:p>
        </w:tc>
        <w:tc>
          <w:tcPr>
            <w:tcW w:w="507" w:type="pct"/>
          </w:tcPr>
          <w:p w14:paraId="6EEDA303" w14:textId="77777777" w:rsidR="003E7108" w:rsidRPr="003E7108" w:rsidRDefault="003E7108" w:rsidP="006C7A09">
            <w:pPr>
              <w:keepLines/>
              <w:jc w:val="both"/>
              <w:rPr>
                <w:szCs w:val="24"/>
                <w:highlight w:val="yellow"/>
              </w:rPr>
            </w:pPr>
            <w:r w:rsidRPr="003E7108">
              <w:rPr>
                <w:szCs w:val="24"/>
              </w:rPr>
              <w:t>108 696,00</w:t>
            </w:r>
          </w:p>
        </w:tc>
      </w:tr>
      <w:bookmarkEnd w:id="0"/>
      <w:tr w:rsidR="003E7108" w:rsidRPr="003E7108" w14:paraId="44F2E6C7" w14:textId="77777777" w:rsidTr="003E7108">
        <w:tc>
          <w:tcPr>
            <w:tcW w:w="3475" w:type="pct"/>
            <w:gridSpan w:val="3"/>
          </w:tcPr>
          <w:p w14:paraId="11163DBE" w14:textId="77777777" w:rsidR="003E7108" w:rsidRPr="003E7108" w:rsidRDefault="003E7108" w:rsidP="006C7A09">
            <w:pPr>
              <w:keepNext/>
              <w:keepLines/>
              <w:jc w:val="both"/>
              <w:rPr>
                <w:rFonts w:ascii="Times New Roman CYR" w:eastAsia="Calibri" w:hAnsi="Times New Roman CYR" w:cs="Times New Roman CYR"/>
                <w:bCs/>
                <w:szCs w:val="24"/>
              </w:rPr>
            </w:pPr>
            <w:r w:rsidRPr="003E7108">
              <w:rPr>
                <w:b/>
                <w:szCs w:val="24"/>
              </w:rPr>
              <w:t>ИТОГО:</w:t>
            </w:r>
          </w:p>
        </w:tc>
        <w:tc>
          <w:tcPr>
            <w:tcW w:w="325" w:type="pct"/>
          </w:tcPr>
          <w:p w14:paraId="1D4B6277" w14:textId="77777777" w:rsidR="003E7108" w:rsidRPr="00994DA3" w:rsidRDefault="003E7108" w:rsidP="006C7A09">
            <w:pPr>
              <w:keepLines/>
              <w:jc w:val="both"/>
              <w:rPr>
                <w:b/>
                <w:szCs w:val="24"/>
              </w:rPr>
            </w:pPr>
            <w:r w:rsidRPr="00994DA3">
              <w:rPr>
                <w:b/>
                <w:szCs w:val="24"/>
              </w:rPr>
              <w:t>23680</w:t>
            </w:r>
          </w:p>
        </w:tc>
        <w:tc>
          <w:tcPr>
            <w:tcW w:w="230" w:type="pct"/>
          </w:tcPr>
          <w:p w14:paraId="700D2ACC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</w:p>
        </w:tc>
        <w:tc>
          <w:tcPr>
            <w:tcW w:w="463" w:type="pct"/>
          </w:tcPr>
          <w:p w14:paraId="442FBD75" w14:textId="77777777" w:rsidR="003E7108" w:rsidRPr="003E7108" w:rsidRDefault="003E7108" w:rsidP="006C7A09">
            <w:pPr>
              <w:keepLines/>
              <w:jc w:val="both"/>
              <w:rPr>
                <w:szCs w:val="24"/>
              </w:rPr>
            </w:pPr>
          </w:p>
        </w:tc>
        <w:tc>
          <w:tcPr>
            <w:tcW w:w="507" w:type="pct"/>
          </w:tcPr>
          <w:p w14:paraId="76841A53" w14:textId="77777777" w:rsidR="003E7108" w:rsidRPr="003E7108" w:rsidRDefault="003E7108" w:rsidP="006C7A09">
            <w:pPr>
              <w:keepLines/>
              <w:jc w:val="both"/>
              <w:rPr>
                <w:b/>
                <w:szCs w:val="24"/>
              </w:rPr>
            </w:pPr>
            <w:r w:rsidRPr="003E7108">
              <w:rPr>
                <w:b/>
                <w:szCs w:val="24"/>
              </w:rPr>
              <w:t>2 073 956,00</w:t>
            </w:r>
          </w:p>
        </w:tc>
      </w:tr>
    </w:tbl>
    <w:p w14:paraId="358C2740" w14:textId="77777777" w:rsidR="003E7108" w:rsidRPr="003E7108" w:rsidRDefault="003E7108" w:rsidP="003E7108">
      <w:pPr>
        <w:keepLines/>
        <w:widowControl w:val="0"/>
        <w:tabs>
          <w:tab w:val="left" w:pos="5865"/>
        </w:tabs>
        <w:jc w:val="center"/>
        <w:rPr>
          <w:szCs w:val="24"/>
        </w:rPr>
      </w:pPr>
    </w:p>
    <w:p w14:paraId="5CCA9C9D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szCs w:val="24"/>
        </w:rPr>
      </w:pPr>
      <w:r w:rsidRPr="003E7108">
        <w:rPr>
          <w:b/>
          <w:szCs w:val="24"/>
        </w:rPr>
        <w:t>Сроки поставки товара или завершения работ, либо график оказания услуг:</w:t>
      </w:r>
    </w:p>
    <w:p w14:paraId="63E70F1F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До 20.01.2023 г. предоставить на склад Поставщика, расположенный на территории Краснодарского края, 50% от общего количества Товара. До 15.03.2023 г. на складе Поставщика, расположенном на территории Краснодарского края, должно быть 100% от общего количества Товара. </w:t>
      </w:r>
    </w:p>
    <w:p w14:paraId="323BFB2B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421F7178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szCs w:val="24"/>
        </w:rPr>
      </w:pPr>
      <w:r w:rsidRPr="003E7108">
        <w:rPr>
          <w:b/>
          <w:szCs w:val="24"/>
        </w:rPr>
        <w:t xml:space="preserve">Место поставки товара, выполнения работы или оказания услуг </w:t>
      </w:r>
    </w:p>
    <w:p w14:paraId="4B50E20F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>Краснодарский край:</w:t>
      </w:r>
    </w:p>
    <w:p w14:paraId="78FD2EA4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23F33793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44A7CEC1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74B39F79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29F9CB3C" w14:textId="77777777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6EF69463" w14:textId="10151EB4" w:rsidR="003E7108" w:rsidRPr="003E7108" w:rsidRDefault="003E7108" w:rsidP="003E7108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E7108">
        <w:rPr>
          <w:szCs w:val="24"/>
        </w:rPr>
        <w:t>Соответствие ГОСТ ISO 10993-1-2021, ГОСТ ISO 10993-5-2011, ГОСТ ISO 10993-10-2011, ГОСТ Р 52770-2016, ГОСТ Р 51632-2021, ГОСТ Р 58235-2018</w:t>
      </w:r>
      <w:r w:rsidRPr="003E7108">
        <w:rPr>
          <w:szCs w:val="24"/>
        </w:rPr>
        <w:t>.</w:t>
      </w:r>
    </w:p>
    <w:p w14:paraId="714FB31B" w14:textId="77777777" w:rsidR="00512B2B" w:rsidRPr="003E7108" w:rsidRDefault="00512B2B" w:rsidP="00512B2B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512B2B" w:rsidRPr="003E7108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4A780C5" w14:textId="77777777" w:rsidR="003E7108" w:rsidRDefault="003E7108" w:rsidP="003E7108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2903C123" w14:textId="77777777" w:rsidR="003E7108" w:rsidRDefault="003E7108" w:rsidP="003E7108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04ED1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3E7108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2B2B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954D2"/>
    <w:rsid w:val="008A7512"/>
    <w:rsid w:val="008B7BC9"/>
    <w:rsid w:val="008E07C7"/>
    <w:rsid w:val="008E54EF"/>
    <w:rsid w:val="008F320D"/>
    <w:rsid w:val="008F3E8F"/>
    <w:rsid w:val="008F7EE2"/>
    <w:rsid w:val="00901437"/>
    <w:rsid w:val="00931BE4"/>
    <w:rsid w:val="0093322E"/>
    <w:rsid w:val="00954674"/>
    <w:rsid w:val="00954D81"/>
    <w:rsid w:val="009619DB"/>
    <w:rsid w:val="00963739"/>
    <w:rsid w:val="00970302"/>
    <w:rsid w:val="009774F1"/>
    <w:rsid w:val="00990953"/>
    <w:rsid w:val="00994DA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013D"/>
    <w:rsid w:val="00C67BED"/>
    <w:rsid w:val="00CA2E18"/>
    <w:rsid w:val="00CE0D8D"/>
    <w:rsid w:val="00CF3C85"/>
    <w:rsid w:val="00D1519D"/>
    <w:rsid w:val="00D15D06"/>
    <w:rsid w:val="00D26507"/>
    <w:rsid w:val="00D37547"/>
    <w:rsid w:val="00D418EF"/>
    <w:rsid w:val="00D60532"/>
    <w:rsid w:val="00D67204"/>
    <w:rsid w:val="00D73166"/>
    <w:rsid w:val="00D843F9"/>
    <w:rsid w:val="00DB00FE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F002-A111-447B-ACBD-CB8D3A05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196</cp:revision>
  <dcterms:created xsi:type="dcterms:W3CDTF">2021-12-29T15:28:00Z</dcterms:created>
  <dcterms:modified xsi:type="dcterms:W3CDTF">2022-12-06T13:36:00Z</dcterms:modified>
</cp:coreProperties>
</file>