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42" w:rsidRPr="005B117B" w:rsidRDefault="00B11642" w:rsidP="00B11642">
      <w:pPr>
        <w:keepNext/>
        <w:widowControl w:val="0"/>
        <w:tabs>
          <w:tab w:val="left" w:pos="240"/>
        </w:tabs>
        <w:jc w:val="center"/>
        <w:rPr>
          <w:b/>
          <w:u w:val="single"/>
        </w:rPr>
      </w:pPr>
      <w:r w:rsidRPr="005B117B">
        <w:rPr>
          <w:b/>
          <w:u w:val="single"/>
        </w:rPr>
        <w:t>Описание объекта закупки</w:t>
      </w:r>
    </w:p>
    <w:p w:rsidR="00B11642" w:rsidRPr="005B117B" w:rsidRDefault="00B11642" w:rsidP="00B11642">
      <w:pPr>
        <w:jc w:val="center"/>
        <w:rPr>
          <w:b/>
        </w:rPr>
      </w:pPr>
      <w:r w:rsidRPr="005B117B">
        <w:rPr>
          <w:b/>
        </w:rPr>
        <w:t>Услуги по санаторно</w:t>
      </w:r>
      <w:r w:rsidRPr="00530761">
        <w:t>-</w:t>
      </w:r>
      <w:r w:rsidRPr="005B117B">
        <w:rPr>
          <w:b/>
        </w:rPr>
        <w:t>курортному лечению граждан</w:t>
      </w:r>
      <w:r w:rsidRPr="00530761">
        <w:t>-</w:t>
      </w:r>
      <w:r w:rsidRPr="00530761">
        <w:rPr>
          <w:b/>
        </w:rPr>
        <w:t>п</w:t>
      </w:r>
      <w:r w:rsidRPr="005B117B">
        <w:rPr>
          <w:b/>
        </w:rPr>
        <w:t>олучателей государственной социальной помощи в виде набора социальных услуг, а также сопровождающих их лиц, в организациях, оказывающих санаторно</w:t>
      </w:r>
      <w:r w:rsidRPr="00530761">
        <w:t>-</w:t>
      </w:r>
      <w:r w:rsidRPr="005B117B">
        <w:rPr>
          <w:b/>
        </w:rPr>
        <w:t>курортную помощь в 20</w:t>
      </w:r>
      <w:r>
        <w:rPr>
          <w:b/>
        </w:rPr>
        <w:t>23</w:t>
      </w:r>
      <w:r w:rsidRPr="005B117B">
        <w:rPr>
          <w:b/>
        </w:rPr>
        <w:t xml:space="preserve"> году</w:t>
      </w:r>
    </w:p>
    <w:p w:rsidR="00B11642" w:rsidRPr="005B117B" w:rsidRDefault="00B11642" w:rsidP="00B11642">
      <w:pPr>
        <w:keepNext/>
        <w:widowControl w:val="0"/>
        <w:tabs>
          <w:tab w:val="left" w:pos="240"/>
          <w:tab w:val="left" w:pos="8460"/>
        </w:tabs>
        <w:ind w:firstLine="600"/>
        <w:jc w:val="both"/>
      </w:pPr>
    </w:p>
    <w:p w:rsidR="00B11642" w:rsidRDefault="00B11642" w:rsidP="00B11642">
      <w:pPr>
        <w:keepNext/>
        <w:widowControl w:val="0"/>
        <w:tabs>
          <w:tab w:val="left" w:pos="240"/>
          <w:tab w:val="left" w:pos="8460"/>
        </w:tabs>
        <w:ind w:firstLine="600"/>
        <w:jc w:val="both"/>
      </w:pPr>
      <w:r w:rsidRPr="00F10EFF">
        <w:t xml:space="preserve">Основанием для оказания услуг является Федеральный закон от 17 июля 1999 № 178-ФЗ «О государственной социальной помощи», приказ Министерства труда и социальной защиты Российской Федерации от 15.04.2019 года № 247н «О стоимости одного дня пребывания в санаторно-курортных организациях граждан-получателей государственной социальной помощи в виде набора социальных услуг, а также  сопровождающих их лиц, постановление Правительства Российской Федерации от 30 ноября 2019 г. №1554 «О внесении изменений в постановление Правительства Российской Федерации от 29 декабря 2004 г. № 864, </w:t>
      </w:r>
      <w:r w:rsidRPr="00481328">
        <w:t>постановление Правительства Российской Федерации от 30.01.2023 № 119 «Об утверждении коэффициента индексации выплат, пособий и компенсаций в 2023 году».</w:t>
      </w:r>
    </w:p>
    <w:p w:rsidR="00B11642" w:rsidRPr="00F10EFF" w:rsidRDefault="00B11642" w:rsidP="00B11642">
      <w:pPr>
        <w:keepNext/>
        <w:widowControl w:val="0"/>
        <w:tabs>
          <w:tab w:val="left" w:pos="240"/>
          <w:tab w:val="left" w:pos="8460"/>
        </w:tabs>
        <w:ind w:firstLine="600"/>
        <w:jc w:val="both"/>
      </w:pPr>
    </w:p>
    <w:p w:rsidR="00B11642" w:rsidRPr="00530761" w:rsidRDefault="00B11642" w:rsidP="00B11642">
      <w:pPr>
        <w:keepNext/>
        <w:widowControl w:val="0"/>
        <w:shd w:val="clear" w:color="auto" w:fill="FFFFFF"/>
        <w:tabs>
          <w:tab w:val="left" w:pos="1051"/>
        </w:tabs>
        <w:autoSpaceDE w:val="0"/>
        <w:ind w:firstLine="709"/>
        <w:jc w:val="both"/>
        <w:rPr>
          <w:b/>
          <w:u w:val="single"/>
        </w:rPr>
      </w:pPr>
      <w:r w:rsidRPr="00530761">
        <w:rPr>
          <w:b/>
          <w:u w:val="single"/>
        </w:rPr>
        <w:t>Условия оказания услуг и требования к услугам</w:t>
      </w:r>
    </w:p>
    <w:p w:rsidR="00B11642" w:rsidRDefault="00B11642" w:rsidP="00B11642">
      <w:pPr>
        <w:ind w:firstLine="567"/>
        <w:jc w:val="both"/>
      </w:pPr>
      <w:r w:rsidRPr="005B117B">
        <w:t>Количество закупаемых койко-дней для граждан льготных категорий по профил</w:t>
      </w:r>
      <w:r>
        <w:t>ю</w:t>
      </w:r>
      <w:r w:rsidRPr="005B117B">
        <w:t xml:space="preserve"> заболевани</w:t>
      </w:r>
      <w:r>
        <w:t>я</w:t>
      </w:r>
      <w:r w:rsidRPr="005B117B">
        <w:t xml:space="preserve">: </w:t>
      </w:r>
      <w:r w:rsidRPr="00F8290D">
        <w:t>болезни гл</w:t>
      </w:r>
      <w:r>
        <w:t xml:space="preserve">аза и его придаточного аппарата </w:t>
      </w:r>
      <w:r w:rsidRPr="005B117B">
        <w:t xml:space="preserve">– </w:t>
      </w:r>
      <w:r w:rsidRPr="006C3A5E">
        <w:t>5400 койко-дней/300 путёвок.</w:t>
      </w:r>
    </w:p>
    <w:p w:rsidR="00B11642" w:rsidRPr="005B117B" w:rsidRDefault="00B11642" w:rsidP="00B11642">
      <w:pPr>
        <w:ind w:firstLine="567"/>
        <w:jc w:val="both"/>
      </w:pPr>
      <w:r w:rsidRPr="005B117B">
        <w:t>Длительность санаторно-курортного лечения (заезда) – 18 дней.</w:t>
      </w:r>
    </w:p>
    <w:p w:rsidR="00B11642" w:rsidRPr="00FA34FF" w:rsidRDefault="00B11642" w:rsidP="00B11642">
      <w:pPr>
        <w:ind w:firstLine="567"/>
        <w:jc w:val="both"/>
      </w:pPr>
      <w:r w:rsidRPr="005B117B">
        <w:t xml:space="preserve">Сроки оказания услуг – </w:t>
      </w:r>
      <w:r w:rsidRPr="002701F7">
        <w:t>в течение 202</w:t>
      </w:r>
      <w:r>
        <w:t>3</w:t>
      </w:r>
      <w:r w:rsidRPr="002701F7">
        <w:t xml:space="preserve"> года. При составлении графика заездов и выездов участник закупки о</w:t>
      </w:r>
      <w:r>
        <w:t>бязан учитывать последнюю дату за</w:t>
      </w:r>
      <w:r w:rsidRPr="002701F7">
        <w:t xml:space="preserve">езда – </w:t>
      </w:r>
      <w:r>
        <w:t>01.10.2023</w:t>
      </w:r>
      <w:r w:rsidRPr="002701F7">
        <w:t xml:space="preserve"> года. Согласование графика заезда при заключении контракта.</w:t>
      </w:r>
    </w:p>
    <w:p w:rsidR="00B11642" w:rsidRDefault="00B11642" w:rsidP="00B11642">
      <w:pPr>
        <w:ind w:firstLine="567"/>
        <w:jc w:val="both"/>
      </w:pPr>
      <w:r w:rsidRPr="005B117B">
        <w:t xml:space="preserve">Место оказания услуг – </w:t>
      </w:r>
      <w:r>
        <w:t>Российская Федерация, к</w:t>
      </w:r>
      <w:r w:rsidRPr="008913D7">
        <w:t>урорты Ставропольского края, город-курорт Пятигорск.</w:t>
      </w:r>
    </w:p>
    <w:p w:rsidR="00B11642" w:rsidRPr="005B117B" w:rsidRDefault="00B11642" w:rsidP="00B11642">
      <w:pPr>
        <w:ind w:firstLine="567"/>
        <w:jc w:val="both"/>
      </w:pPr>
      <w:r w:rsidRPr="005B117B">
        <w:rPr>
          <w:u w:val="single"/>
          <w:lang w:val="en-US"/>
        </w:rPr>
        <w:t>I</w:t>
      </w:r>
      <w:r w:rsidRPr="005B117B">
        <w:rPr>
          <w:u w:val="single"/>
        </w:rPr>
        <w:t>. Общие требования:</w:t>
      </w:r>
    </w:p>
    <w:p w:rsidR="00B11642" w:rsidRDefault="00B11642" w:rsidP="00B11642">
      <w:pPr>
        <w:ind w:firstLine="567"/>
        <w:jc w:val="both"/>
        <w:rPr>
          <w:spacing w:val="-4"/>
        </w:rPr>
      </w:pPr>
      <w:r w:rsidRPr="005B117B">
        <w:rPr>
          <w:spacing w:val="-4"/>
        </w:rPr>
        <w:t xml:space="preserve">1. </w:t>
      </w:r>
      <w:r w:rsidRPr="0067157B">
        <w:rPr>
          <w:spacing w:val="-4"/>
        </w:rPr>
        <w:t>Наличие у участника закупки лицензии/выписки из реестра лицензий на медицинскую деятельность по оказанию санаторно-курортной помощи, предоставленной лицензирующим органом в соответствии с нормативно-правовыми актами в сфере лицензирования отдельных видов деятельности  и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№ 852 от 01.06.2021 о соответствии номенклатуры работ и услуг при осуществлении санаторно-курортной помощи по:</w:t>
      </w:r>
      <w:r>
        <w:rPr>
          <w:spacing w:val="-4"/>
        </w:rPr>
        <w:t xml:space="preserve"> </w:t>
      </w:r>
      <w:r w:rsidRPr="008913D7">
        <w:rPr>
          <w:spacing w:val="-4"/>
        </w:rPr>
        <w:t>терапии, офтальмологии.</w:t>
      </w:r>
    </w:p>
    <w:p w:rsidR="00B11642" w:rsidRPr="000C6A54" w:rsidRDefault="00B11642" w:rsidP="00B11642">
      <w:pPr>
        <w:ind w:firstLine="567"/>
        <w:jc w:val="both"/>
        <w:rPr>
          <w:spacing w:val="-4"/>
        </w:rPr>
      </w:pPr>
      <w:r>
        <w:rPr>
          <w:spacing w:val="-4"/>
        </w:rPr>
        <w:t>2</w:t>
      </w:r>
      <w:r w:rsidRPr="005B117B">
        <w:rPr>
          <w:spacing w:val="-4"/>
        </w:rPr>
        <w:t xml:space="preserve">. </w:t>
      </w:r>
      <w:r w:rsidRPr="00E53D72">
        <w:rPr>
          <w:spacing w:val="-4"/>
        </w:rPr>
        <w:t xml:space="preserve">Участник закупки должен </w:t>
      </w:r>
      <w:r>
        <w:rPr>
          <w:spacing w:val="-4"/>
        </w:rPr>
        <w:t xml:space="preserve">оказать комплекс медицинских услуг, соответствующий профилю лечения, рекомендованных Приказами </w:t>
      </w:r>
      <w:proofErr w:type="spellStart"/>
      <w:r>
        <w:rPr>
          <w:spacing w:val="-4"/>
        </w:rPr>
        <w:t>Минздравсоцразвития</w:t>
      </w:r>
      <w:proofErr w:type="spellEnd"/>
      <w:r>
        <w:rPr>
          <w:spacing w:val="-4"/>
        </w:rPr>
        <w:t xml:space="preserve"> РФ</w:t>
      </w:r>
      <w:r w:rsidRPr="006621FC">
        <w:rPr>
          <w:spacing w:val="-4"/>
        </w:rPr>
        <w:t xml:space="preserve">: </w:t>
      </w:r>
      <w:r w:rsidRPr="008913D7">
        <w:rPr>
          <w:spacing w:val="-4"/>
        </w:rPr>
        <w:t>№ 215 от 22.11.2004 «Об утверждении стандарта санаторно-курортной помощи больным с болезнями гла</w:t>
      </w:r>
      <w:r>
        <w:rPr>
          <w:spacing w:val="-4"/>
        </w:rPr>
        <w:t>за и его придаточного аппарата».</w:t>
      </w:r>
      <w:r w:rsidRPr="000C6A54">
        <w:rPr>
          <w:spacing w:val="-4"/>
        </w:rPr>
        <w:t xml:space="preserve"> При этом учитываются совместимость физиотерапевтических процедур, в соответствии с Перечнем необходимых медицинских услуг и процедур, отпускаемых в специализированных санаториях больному по профилю его заболевания. Методические указания (утв. Минздравом РФ от 22.12.1999 № 99/229).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 xml:space="preserve">3. Оказание услуг по санаторно-курортной помощи должно осуществляться врачами – специалистами в соответствии с заявленными нозологиями: </w:t>
      </w:r>
      <w:r w:rsidRPr="004875DC">
        <w:rPr>
          <w:spacing w:val="-4"/>
        </w:rPr>
        <w:t>терапевт</w:t>
      </w:r>
      <w:r>
        <w:rPr>
          <w:spacing w:val="-4"/>
        </w:rPr>
        <w:t>ом</w:t>
      </w:r>
      <w:r w:rsidRPr="004875DC">
        <w:rPr>
          <w:spacing w:val="-4"/>
        </w:rPr>
        <w:t>, офтальмолог</w:t>
      </w:r>
      <w:r>
        <w:rPr>
          <w:spacing w:val="-4"/>
        </w:rPr>
        <w:t>ом</w:t>
      </w:r>
      <w:r w:rsidRPr="000C6A54">
        <w:rPr>
          <w:spacing w:val="-4"/>
        </w:rPr>
        <w:t xml:space="preserve"> с использованием методов функциональных исследований и методик лабораторных исследований.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 xml:space="preserve">4. </w:t>
      </w:r>
      <w:r w:rsidRPr="000C6A54">
        <w:rPr>
          <w:spacing w:val="-4"/>
          <w:lang w:val="en-US"/>
        </w:rPr>
        <w:t>C</w:t>
      </w:r>
      <w:proofErr w:type="spellStart"/>
      <w:r w:rsidRPr="000C6A54">
        <w:rPr>
          <w:spacing w:val="-4"/>
        </w:rPr>
        <w:t>анаторно</w:t>
      </w:r>
      <w:proofErr w:type="spellEnd"/>
      <w:r w:rsidRPr="000C6A54">
        <w:rPr>
          <w:spacing w:val="-4"/>
        </w:rPr>
        <w:t xml:space="preserve">-курортная организация должна располагаться на территории </w:t>
      </w:r>
      <w:bookmarkStart w:id="0" w:name="_GoBack"/>
      <w:bookmarkEnd w:id="0"/>
      <w:r w:rsidRPr="008D729F">
        <w:rPr>
          <w:spacing w:val="-4"/>
        </w:rPr>
        <w:t xml:space="preserve">курортов Ставропольского края. </w:t>
      </w:r>
      <w:r w:rsidRPr="000C6A54">
        <w:rPr>
          <w:spacing w:val="-4"/>
        </w:rPr>
        <w:t xml:space="preserve"> 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5. Участник закупки должен быть расположен в местностях с благоприятными экологическими условиями.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6. Территория участника закупки должна быть благоустроена, озеленена, ограждена и освещена в темное время суток.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lastRenderedPageBreak/>
        <w:t xml:space="preserve">7. Территорию средств размещения необходимо разбивать на отдельные обособленные зоны в зависимости от их функционального назначения: зона приема, зона проживания, зона отдыха, физкультурно-оздоровительная зона, хозяйственная зона и т.д. 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8. Административные здания и помещения, бытовые помещения должны располагаться в зоне проживания. Зона приема должна быть оборудована отдельным въездом или входом и расположена вблизи приемного отделения.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9. Не допускается использование цокольных этажей, подвальных помещений для проживания и оказания физкультурно-оздоровительных услуг и услуг по организации досуга. В подземных и цокольных этажах санаториев допускается размещение стоянок и парковки легковых автомобилей при условии размещения нежилого этажа между номерным фондом и стоянкой или парковкой.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10. Системы отопления, вентиляции и кондиционирования воздуха должны обеспечивать параметры микроклимата в номерах для проживания и общественных помещениях в соответствии с требованиями санитарных норм и правил.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 xml:space="preserve">11. Материалы, используемые для внутренней отделки всех помещений, покрытия полов и мягкой мебели из синтетических полимерных материалов, должны быть разрешены органами </w:t>
      </w:r>
      <w:proofErr w:type="spellStart"/>
      <w:r w:rsidRPr="000C6A54">
        <w:rPr>
          <w:spacing w:val="-4"/>
        </w:rPr>
        <w:t>Роспотребнадзора</w:t>
      </w:r>
      <w:proofErr w:type="spellEnd"/>
      <w:r w:rsidRPr="000C6A54">
        <w:rPr>
          <w:spacing w:val="-4"/>
        </w:rPr>
        <w:t xml:space="preserve"> и не должны являться источниками выделения вредных веществ и создавать неблагоприятные условия для проживания.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12. Соблюдать санитарно-гигиенические и противоэпидемиологические правила и нормы в части: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содержания прилегающей территории, мест общего пользования, всех помещений средств размещения;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уборки номеров, других общественных и служебных помещений;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уборки и обработки санузлов, кухонь или кухонных уголков, помещений для самостоятельного приготовления пищи;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обработки (стирки, глажения, хранения) белья;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содержания и обработки уборочного инвентаря;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удаления отходов и защиты от насекомых и грызунов;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качества питьевой воды и воды хозяйственного назначения;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освещения и состояния микроклимата в номерах, общественных и производственных помещениях.</w:t>
      </w:r>
    </w:p>
    <w:p w:rsidR="00B11642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13. Уровень шума на территории и в жилых помещениях не должен превышать установленные для территории жилых и общественных зданий нормативы.</w:t>
      </w:r>
    </w:p>
    <w:p w:rsidR="00B11642" w:rsidRPr="000E670D" w:rsidRDefault="00B11642" w:rsidP="00B11642">
      <w:pPr>
        <w:widowControl w:val="0"/>
        <w:ind w:firstLine="567"/>
        <w:jc w:val="both"/>
      </w:pPr>
      <w:r>
        <w:rPr>
          <w:spacing w:val="-4"/>
        </w:rPr>
        <w:t xml:space="preserve">14. </w:t>
      </w:r>
      <w:r w:rsidRPr="000E670D">
        <w:t>Территория, жилые комнаты, лечебные кабинеты, столовые, холлы, лестничные пролеты, бассейны, залы лечебной физкультуры, клубные и библиотечные помещения, лифты, и другие объекты должны быть оснащены специальными приспособлениями для ориентировки незрячих граждан льготных категорий: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proofErr w:type="spellStart"/>
      <w:r w:rsidRPr="000E670D">
        <w:t>безбордюрное</w:t>
      </w:r>
      <w:proofErr w:type="spellEnd"/>
      <w:r w:rsidRPr="000E670D">
        <w:t xml:space="preserve"> сопряжение тротуаров и площадок с дорожным полотном; 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>оборудование помещений поручнями, ограждениями с применением строительных и отделочных материалов определенного качества (гладкие, шероховатые, рифленые) и цвета;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 xml:space="preserve">устройство </w:t>
      </w:r>
      <w:proofErr w:type="spellStart"/>
      <w:r w:rsidRPr="000E670D">
        <w:t>пристенных</w:t>
      </w:r>
      <w:proofErr w:type="spellEnd"/>
      <w:r w:rsidRPr="000E670D">
        <w:t xml:space="preserve"> поручней, звуковых маяков и ориентиров, световых маяков, контрастной окраски сопрягаемых поверхностей или конструктивных элементов, </w:t>
      </w:r>
      <w:proofErr w:type="spellStart"/>
      <w:r w:rsidRPr="000E670D">
        <w:t>травмобезопасных</w:t>
      </w:r>
      <w:proofErr w:type="spellEnd"/>
      <w:r w:rsidRPr="000E670D">
        <w:t xml:space="preserve"> дверей и их элементов;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>наличие подробного макета учреждения для пространственной ориентации инвалидов по зрению;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>наличие информационных таблиц, указателей направлений и других информационных материалов с использованием письма по системе Брайля.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>библиотека для санатория должна располагать специализированным книжным фондом для инвалидов по зрению: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lastRenderedPageBreak/>
        <w:t>«Говорящая книга» (диски, аудиокассеты) – не менее одной единицы наименования на каждое койко-место;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>книги с рельефно-точечным шрифтом по системе Брайля – не менее одной единицы наименования на каждое койко-место;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>устройства для прослушивания книг, журналов (магнитофоны, плееры) – не менее 20 устройств.</w:t>
      </w:r>
    </w:p>
    <w:p w:rsidR="00B11642" w:rsidRPr="000E670D" w:rsidRDefault="00B11642" w:rsidP="00B11642">
      <w:pPr>
        <w:tabs>
          <w:tab w:val="left" w:pos="993"/>
        </w:tabs>
        <w:jc w:val="both"/>
      </w:pPr>
      <w:r w:rsidRPr="000E670D">
        <w:tab/>
        <w:t>Лечебная база должна предусматривать: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>наличие оснащенного офтальмологического отделения, врача-офтальмолога, владеющего методами диагностики и лечения сложной патологии органа зрения;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>наличие службы (кабинета) психологической помощи;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 xml:space="preserve">специальные методы и приемы лечебной физкультуры с учетом последствий вынужденной гиподинамии и гипокинезии у незрячих граждан; </w:t>
      </w:r>
    </w:p>
    <w:p w:rsidR="00B11642" w:rsidRPr="000E670D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0E670D">
        <w:t>медицинский и обслуживающий персонал (врачи, медсестры, официанты, сестры-хозяйки, санитарки, вахтеры, охранники и др.) должен владеть навыками сопровождения незрячих и слабовидящих граждан;</w:t>
      </w:r>
    </w:p>
    <w:p w:rsidR="00B11642" w:rsidRPr="005A5AF2" w:rsidRDefault="00B11642" w:rsidP="00B11642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0E670D">
        <w:t>при необходимости иметь возможность разместить собак-поводырей</w:t>
      </w:r>
      <w:r w:rsidRPr="000E670D">
        <w:rPr>
          <w:spacing w:val="-4"/>
        </w:rPr>
        <w:t>.</w:t>
      </w:r>
    </w:p>
    <w:p w:rsidR="00B11642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1</w:t>
      </w:r>
      <w:r>
        <w:rPr>
          <w:spacing w:val="-4"/>
        </w:rPr>
        <w:t>5</w:t>
      </w:r>
      <w:r w:rsidRPr="000C6A54">
        <w:rPr>
          <w:spacing w:val="-4"/>
        </w:rPr>
        <w:t xml:space="preserve">. Наличие и использование для лечения граждан льготных категорий лечебных факторов (грязелечение, </w:t>
      </w:r>
      <w:proofErr w:type="spellStart"/>
      <w:r>
        <w:rPr>
          <w:spacing w:val="-4"/>
        </w:rPr>
        <w:t>климатолечение</w:t>
      </w:r>
      <w:proofErr w:type="spellEnd"/>
      <w:r>
        <w:rPr>
          <w:spacing w:val="-4"/>
        </w:rPr>
        <w:t xml:space="preserve">, </w:t>
      </w:r>
      <w:proofErr w:type="spellStart"/>
      <w:r w:rsidRPr="000C6A54">
        <w:rPr>
          <w:spacing w:val="-4"/>
        </w:rPr>
        <w:t>бальнеолечение</w:t>
      </w:r>
      <w:proofErr w:type="spellEnd"/>
      <w:r w:rsidRPr="000C6A54">
        <w:rPr>
          <w:spacing w:val="-4"/>
        </w:rPr>
        <w:t>), позволяющих оказывать услуги, согласно профилю санаторно-курортной организации.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16. </w:t>
      </w:r>
      <w:r w:rsidRPr="005A5AF2">
        <w:rPr>
          <w:spacing w:val="-4"/>
        </w:rPr>
        <w:t>Наличие на территории здравницы стационарного плавательного бассейна (для проведения занятий ЛФК).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1</w:t>
      </w:r>
      <w:r>
        <w:rPr>
          <w:spacing w:val="-4"/>
        </w:rPr>
        <w:t>7</w:t>
      </w:r>
      <w:r w:rsidRPr="000C6A54">
        <w:rPr>
          <w:spacing w:val="-4"/>
        </w:rPr>
        <w:t>. Диетическое либо лечебное питание проводится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Минздрава РФ № 330 от 05.08.2003 (ред. от 24.11.2016) «О мерах по совершенствованию лечебного питания в лечебно-профилактических учреждениях Российской Федерации».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1</w:t>
      </w:r>
      <w:r>
        <w:rPr>
          <w:spacing w:val="-4"/>
        </w:rPr>
        <w:t>8</w:t>
      </w:r>
      <w:r w:rsidRPr="000C6A54">
        <w:rPr>
          <w:spacing w:val="-4"/>
        </w:rPr>
        <w:t>. Оформление медицинской документации для поступающих на санаторно-курортное лечение граждан, имеющих право на получение государственной социальной помощи должно осуществляться по установленным формам, утвержденным Министерством здравоохранения и социального развития Российской Федерации.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1</w:t>
      </w:r>
      <w:r>
        <w:rPr>
          <w:spacing w:val="-4"/>
        </w:rPr>
        <w:t>9</w:t>
      </w:r>
      <w:r w:rsidRPr="000C6A54">
        <w:rPr>
          <w:spacing w:val="-4"/>
        </w:rPr>
        <w:t>. Обслуживающий персонал должен отвечать требованиям к персоналу, установленным нормативными документами. Персонал специализированных средств размещения должен быть подготовлен к действиям в чрезвычайных ситуациях.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>
        <w:rPr>
          <w:spacing w:val="-4"/>
        </w:rPr>
        <w:t>20</w:t>
      </w:r>
      <w:r w:rsidRPr="000C6A54">
        <w:rPr>
          <w:spacing w:val="-4"/>
        </w:rPr>
        <w:t>. Должны быть обеспечены безопасные условия для жизни и здоровья проживающих, сохранность их имущества, должны соблюдаться действующие правила оказания услуг, установленные нормативными правовыми актами Российской Федерации и требования нормативных документов федеральных органов исполнительной власти в части безопасности.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>
        <w:rPr>
          <w:spacing w:val="-4"/>
        </w:rPr>
        <w:t>21</w:t>
      </w:r>
      <w:r w:rsidRPr="000C6A54">
        <w:rPr>
          <w:spacing w:val="-4"/>
        </w:rPr>
        <w:t xml:space="preserve">. Участник закупки должен отвечать требованиям Приказа </w:t>
      </w:r>
      <w:proofErr w:type="spellStart"/>
      <w:r w:rsidRPr="000C6A54">
        <w:rPr>
          <w:spacing w:val="-4"/>
        </w:rPr>
        <w:t>Минздравсоцразвития</w:t>
      </w:r>
      <w:proofErr w:type="spellEnd"/>
      <w:r w:rsidRPr="000C6A54">
        <w:rPr>
          <w:spacing w:val="-4"/>
        </w:rPr>
        <w:t xml:space="preserve"> России от 06.08.2013 № 529н «Об утверждении номенклатуры медицинских организаций».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2</w:t>
      </w:r>
      <w:r>
        <w:rPr>
          <w:spacing w:val="-4"/>
        </w:rPr>
        <w:t>2</w:t>
      </w:r>
      <w:r w:rsidRPr="000C6A54">
        <w:rPr>
          <w:spacing w:val="-4"/>
        </w:rPr>
        <w:t xml:space="preserve">. Участник закупки должен иметь возможность выполнить объем медицинских услуг – в зависимости от профиля заболевания в соответствии со стандартами санаторно-курортного лечения.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9"/>
        <w:gridCol w:w="4630"/>
      </w:tblGrid>
      <w:tr w:rsidR="00B11642" w:rsidRPr="000C6A54" w:rsidTr="00F35F68">
        <w:tc>
          <w:tcPr>
            <w:tcW w:w="5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Наименование услуг (процедур)*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 xml:space="preserve">Среднее </w:t>
            </w:r>
            <w:r>
              <w:rPr>
                <w:spacing w:val="-4"/>
              </w:rPr>
              <w:t xml:space="preserve">количество услуг на 1 пациента </w:t>
            </w:r>
            <w:r w:rsidRPr="000C6A54">
              <w:rPr>
                <w:spacing w:val="-4"/>
              </w:rPr>
              <w:t>(на курс лечения)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Прием (осмотр, консультация) врача терапевта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  <w:lang w:val="en-US"/>
              </w:rPr>
            </w:pPr>
            <w:r w:rsidRPr="000C6A54">
              <w:rPr>
                <w:spacing w:val="-4"/>
                <w:lang w:val="en-US"/>
              </w:rPr>
              <w:t>3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Прием (осмотр, консультация) врача специалиста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1-2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Уточняющие (контрольные) диагностические процедуры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2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lastRenderedPageBreak/>
              <w:t>Грязелечение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8-10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Водолечение (лечебные ванны, души, водные процедуры)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8-10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Лечебная физкультура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8-10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Массаж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8-10</w:t>
            </w:r>
          </w:p>
        </w:tc>
      </w:tr>
      <w:tr w:rsidR="00B11642" w:rsidRPr="000C6A54" w:rsidTr="00F35F68">
        <w:trPr>
          <w:trHeight w:val="248"/>
        </w:trPr>
        <w:tc>
          <w:tcPr>
            <w:tcW w:w="50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Аппаратная физиотерапия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8-10</w:t>
            </w:r>
          </w:p>
        </w:tc>
      </w:tr>
      <w:tr w:rsidR="00B11642" w:rsidRPr="000C6A54" w:rsidTr="00F35F68">
        <w:trPr>
          <w:trHeight w:val="54"/>
        </w:trPr>
        <w:tc>
          <w:tcPr>
            <w:tcW w:w="5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Питьевое лечение минеральными водами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18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Лечебная диета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  <w:lang w:val="en-US"/>
              </w:rPr>
            </w:pPr>
            <w:r w:rsidRPr="000C6A54">
              <w:rPr>
                <w:spacing w:val="-4"/>
                <w:lang w:val="en-US"/>
              </w:rPr>
              <w:t>18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proofErr w:type="spellStart"/>
            <w:r w:rsidRPr="000C6A54">
              <w:rPr>
                <w:spacing w:val="-4"/>
              </w:rPr>
              <w:t>Климатолечение</w:t>
            </w:r>
            <w:proofErr w:type="spellEnd"/>
            <w:r w:rsidRPr="000C6A54">
              <w:rPr>
                <w:spacing w:val="-4"/>
              </w:rPr>
              <w:t xml:space="preserve"> (прогулки, воздушные ванны)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18</w:t>
            </w:r>
          </w:p>
        </w:tc>
      </w:tr>
      <w:tr w:rsidR="00B11642" w:rsidRPr="000C6A54" w:rsidTr="00F35F6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Неотложная медицинская помощь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642" w:rsidRPr="000C6A54" w:rsidRDefault="00B11642" w:rsidP="00F35F68">
            <w:pPr>
              <w:tabs>
                <w:tab w:val="left" w:pos="993"/>
              </w:tabs>
              <w:ind w:firstLine="567"/>
              <w:jc w:val="both"/>
              <w:rPr>
                <w:spacing w:val="-4"/>
              </w:rPr>
            </w:pPr>
            <w:r w:rsidRPr="000C6A54">
              <w:rPr>
                <w:spacing w:val="-4"/>
              </w:rPr>
              <w:t>По необходимости</w:t>
            </w:r>
          </w:p>
        </w:tc>
      </w:tr>
    </w:tbl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 xml:space="preserve">     * Перечень и количество процедур определяется лечащим врачом в зависимости от состояния здоровья получателя путевки.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  <w:u w:val="single"/>
          <w:lang w:val="en-US"/>
        </w:rPr>
        <w:t>II</w:t>
      </w:r>
      <w:r w:rsidRPr="000C6A54">
        <w:rPr>
          <w:spacing w:val="-4"/>
          <w:u w:val="single"/>
        </w:rPr>
        <w:t>. Общие требования к зданиям, техническому оборудованию и оснащению, санитарным</w:t>
      </w:r>
      <w:r w:rsidRPr="000C6A54">
        <w:rPr>
          <w:spacing w:val="-4"/>
        </w:rPr>
        <w:t xml:space="preserve"> объектам общего пользования, общественным помещениям: 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  <w:u w:val="single"/>
        </w:rPr>
      </w:pPr>
      <w:r w:rsidRPr="000C6A54">
        <w:rPr>
          <w:spacing w:val="-4"/>
        </w:rPr>
        <w:t xml:space="preserve">1. Наличие вывески, входа для гостей, пандуса, автостоянки для инвалидов (не менее трех </w:t>
      </w:r>
      <w:proofErr w:type="spellStart"/>
      <w:r w:rsidRPr="000C6A54">
        <w:rPr>
          <w:spacing w:val="-4"/>
        </w:rPr>
        <w:t>машиномест</w:t>
      </w:r>
      <w:proofErr w:type="spellEnd"/>
      <w:r w:rsidRPr="000C6A54">
        <w:rPr>
          <w:spacing w:val="-4"/>
        </w:rPr>
        <w:t>).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2. Участник закупки должен обеспечить: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аварийное освещение и энергоснабжение (аварийное освещение (стационарный генератор или аккумуляторы и фонари);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естественное и искусственное освещение в жилых и общественных помещениях;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естественное и/или искусственное освещение в коридорах и на лестницах круглосуточно;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горячее и холодное водоснабжение круглосуточно;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 xml:space="preserve"> наличие емкости для минимального запаса воды не менее чем на сутки на время аварии, профилактических работ;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 xml:space="preserve"> канализацию;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 xml:space="preserve">установку по обработке воды с целью обеспечения ее пригодности для питья или наличие бутилированной питьевой воды в номере (бесплатно); 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отопление, обеспечивающее температуру воздуха в жилых и общественных помещениях не ниже 18,5 °С;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 xml:space="preserve">вентиляцию (естественную или принудительную) или кондиционирование воздуха во всех помещениях круглогодично; 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круглосуточно работающий лифт, в зданиях более пяти этажей;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внутреннюю телефонную связь из номера или кнопку вызова обслуживающего персонала;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возможность осуществления городской, междугородной, международной телефонной связи;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наличие охранной сигнализации, электронных замков или видеокамер в коридорах;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 xml:space="preserve"> наличие оборудованных туалетов вблизи общественных помещений.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 xml:space="preserve"> медицинский кабинет с круглосуточным режимом работы.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  <w:u w:val="single"/>
        </w:rPr>
      </w:pPr>
      <w:r w:rsidRPr="000C6A54">
        <w:rPr>
          <w:spacing w:val="-4"/>
          <w:u w:val="single"/>
          <w:lang w:val="en-US"/>
        </w:rPr>
        <w:t>III</w:t>
      </w:r>
      <w:r w:rsidRPr="000C6A54">
        <w:rPr>
          <w:spacing w:val="-4"/>
          <w:u w:val="single"/>
        </w:rPr>
        <w:t>. Общие требования к номерам, услугам**: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>Участник закупки должен обеспечить: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круглосуточный прием;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 xml:space="preserve">размещение граждан в однокомнатных одноместных номерах площадью не менее 9 кв. м. или однокомнатных двухместных номерах (в том числе номерах (этажах) для некурящих) </w:t>
      </w:r>
      <w:r w:rsidRPr="000C6A54">
        <w:rPr>
          <w:spacing w:val="-4"/>
        </w:rPr>
        <w:lastRenderedPageBreak/>
        <w:t xml:space="preserve">площадью не менее 12 </w:t>
      </w:r>
      <w:proofErr w:type="spellStart"/>
      <w:r w:rsidRPr="000C6A54">
        <w:rPr>
          <w:spacing w:val="-4"/>
        </w:rPr>
        <w:t>кв.м</w:t>
      </w:r>
      <w:proofErr w:type="spellEnd"/>
      <w:r w:rsidRPr="000C6A54">
        <w:rPr>
          <w:spacing w:val="-4"/>
        </w:rPr>
        <w:t>. (не учитывая площадь санузла, лоджии, балкона), оснащенных мебелью, инвентарем, инвентарем и предметами санитарно-гигиенического оснащения. Каждый номер должен быть оборудован полным санузлом: умывальник, унитаз, ванна или душевая кабина;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техническое оснащение номеров: телевизор, холодильник/ освещение – естественное, искусственное, от потолочного/настенного/напольного светильника, прикроватный светильник, светильник над умывальником;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ежедневную уборку номера горничной, включая заправку постелей;</w:t>
      </w:r>
    </w:p>
    <w:p w:rsidR="00B11642" w:rsidRPr="003215DE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0C6A54">
        <w:rPr>
          <w:spacing w:val="-4"/>
        </w:rPr>
        <w:t>предоставление бытовых услуг, услуг по организации досуга и развлечений;</w:t>
      </w:r>
    </w:p>
    <w:p w:rsidR="00B11642" w:rsidRPr="000C6A54" w:rsidRDefault="00B11642" w:rsidP="00B1164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pacing w:val="-4"/>
        </w:rPr>
      </w:pPr>
      <w:r w:rsidRPr="000C6A54">
        <w:rPr>
          <w:spacing w:val="-4"/>
        </w:rPr>
        <w:t xml:space="preserve">организацию встреч и проводов (на вокзале и т.п.) в соответствии с графиком заезда. 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 w:rsidRPr="000C6A54">
        <w:rPr>
          <w:spacing w:val="-4"/>
        </w:rPr>
        <w:t xml:space="preserve">**Оказание услуг по санаторно-курортному лечению гражданам, имеющим право на получение государственной социальной помощи, а также сопровождающих их лицам осуществляется на основании путевки.                             </w:t>
      </w:r>
    </w:p>
    <w:p w:rsidR="00B11642" w:rsidRPr="000C6A54" w:rsidRDefault="00B11642" w:rsidP="00B11642">
      <w:pPr>
        <w:tabs>
          <w:tab w:val="left" w:pos="993"/>
        </w:tabs>
        <w:ind w:firstLine="567"/>
        <w:jc w:val="both"/>
        <w:rPr>
          <w:spacing w:val="-4"/>
        </w:rPr>
      </w:pPr>
      <w:r>
        <w:rPr>
          <w:spacing w:val="-4"/>
        </w:rPr>
        <w:t>У</w:t>
      </w:r>
      <w:r w:rsidRPr="000C6A54">
        <w:rPr>
          <w:spacing w:val="-4"/>
        </w:rPr>
        <w:t>слуги должны отвечать требованиям качества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 и должны быть оказаны с надлежащим качеством и в объемах, определенных стандартами санаторно-курортной помощи утвержденных Приказами Министерства здравоохранения.</w:t>
      </w:r>
    </w:p>
    <w:p w:rsidR="00FC00A1" w:rsidRDefault="00FC00A1"/>
    <w:sectPr w:rsidR="00F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7C46"/>
    <w:multiLevelType w:val="hybridMultilevel"/>
    <w:tmpl w:val="349247B8"/>
    <w:lvl w:ilvl="0" w:tplc="1012F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FA021E"/>
    <w:multiLevelType w:val="hybridMultilevel"/>
    <w:tmpl w:val="9CFAC2BA"/>
    <w:lvl w:ilvl="0" w:tplc="1012F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2"/>
    <w:rsid w:val="00B11642"/>
    <w:rsid w:val="00BD1C93"/>
    <w:rsid w:val="00F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5264A-F9E4-42DD-A6F7-C0DD60DA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Юлия Сергеевна</dc:creator>
  <cp:keywords/>
  <dc:description/>
  <cp:lastModifiedBy>Волчкова Елена Анатольевна</cp:lastModifiedBy>
  <cp:revision>2</cp:revision>
  <dcterms:created xsi:type="dcterms:W3CDTF">2023-02-27T10:59:00Z</dcterms:created>
  <dcterms:modified xsi:type="dcterms:W3CDTF">2023-02-27T11:07:00Z</dcterms:modified>
</cp:coreProperties>
</file>