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5C" w:rsidRDefault="00D7115C" w:rsidP="00D7115C">
      <w:pPr>
        <w:autoSpaceDE w:val="0"/>
        <w:autoSpaceDN w:val="0"/>
        <w:adjustRightInd w:val="0"/>
        <w:ind w:firstLine="709"/>
        <w:jc w:val="both"/>
        <w:rPr>
          <w:b/>
        </w:rPr>
      </w:pPr>
    </w:p>
    <w:p w:rsidR="00FF7902" w:rsidRDefault="00FF7902" w:rsidP="009F5B82">
      <w:pPr>
        <w:widowControl w:val="0"/>
        <w:autoSpaceDE w:val="0"/>
        <w:jc w:val="both"/>
        <w:rPr>
          <w:b/>
        </w:rPr>
      </w:pPr>
      <w:r w:rsidRPr="00194C59">
        <w:rPr>
          <w:b/>
          <w:bCs/>
          <w:kern w:val="1"/>
        </w:rPr>
        <w:t>Объем работ</w:t>
      </w:r>
      <w:r w:rsidRPr="00194C59">
        <w:rPr>
          <w:bCs/>
          <w:kern w:val="1"/>
        </w:rPr>
        <w:t xml:space="preserve">: </w:t>
      </w:r>
      <w:r w:rsidRPr="00FA700E">
        <w:t xml:space="preserve">В соответствие с п. 2 ст. 42 Федерального закона от 05.04.2013г. №44-ФЗ «О контрактной системе в сфере закупок товаров, работ, услуг для обеспечения государственных и муниципальных нужд» объем подлежащих выполнению работ невозможно определить. </w:t>
      </w:r>
    </w:p>
    <w:p w:rsidR="009F5B82" w:rsidRDefault="009F5B82" w:rsidP="009226AD">
      <w:pPr>
        <w:spacing w:after="160" w:line="259" w:lineRule="auto"/>
        <w:jc w:val="both"/>
        <w:rPr>
          <w:b/>
          <w:bCs/>
          <w:kern w:val="1"/>
        </w:rPr>
      </w:pPr>
    </w:p>
    <w:p w:rsidR="009226AD" w:rsidRPr="006F603A" w:rsidRDefault="009226AD" w:rsidP="009226AD">
      <w:pPr>
        <w:spacing w:after="160" w:line="259" w:lineRule="auto"/>
        <w:jc w:val="both"/>
        <w:rPr>
          <w:rFonts w:eastAsia="Andale Sans UI"/>
          <w:kern w:val="1"/>
          <w:lang w:eastAsia="ar-SA"/>
        </w:rPr>
      </w:pPr>
      <w:r w:rsidRPr="00DB3240">
        <w:rPr>
          <w:b/>
          <w:bCs/>
          <w:kern w:val="1"/>
        </w:rPr>
        <w:t xml:space="preserve">Место </w:t>
      </w:r>
      <w:r w:rsidR="00A54B05" w:rsidRPr="00DB3240">
        <w:rPr>
          <w:b/>
          <w:bCs/>
          <w:kern w:val="1"/>
        </w:rPr>
        <w:t>выполнения работ</w:t>
      </w:r>
      <w:r w:rsidRPr="00DB3240">
        <w:rPr>
          <w:b/>
          <w:bCs/>
          <w:kern w:val="1"/>
        </w:rPr>
        <w:t>:</w:t>
      </w:r>
      <w:r w:rsidRPr="008D1CE7">
        <w:rPr>
          <w:rFonts w:eastAsia="Andale Sans UI"/>
          <w:kern w:val="1"/>
          <w:lang w:eastAsia="ar-SA"/>
        </w:rPr>
        <w:t xml:space="preserve"> </w:t>
      </w:r>
      <w:r w:rsidR="008D1CE7" w:rsidRPr="008D1CE7">
        <w:rPr>
          <w:rFonts w:eastAsia="Andale Sans UI"/>
          <w:kern w:val="1"/>
          <w:lang w:eastAsia="ar-SA"/>
        </w:rPr>
        <w:t>Осуществить снятие мерок, примерку и выдачу готовых Изделий в специализированных помещениях на территории Ханты-Мансийского автономного округа-Югры.</w:t>
      </w:r>
    </w:p>
    <w:p w:rsidR="006F603A" w:rsidRPr="006F603A" w:rsidRDefault="009226AD" w:rsidP="009A4C9B">
      <w:pPr>
        <w:spacing w:after="160" w:line="259" w:lineRule="auto"/>
        <w:jc w:val="both"/>
        <w:rPr>
          <w:rFonts w:eastAsia="Andale Sans UI"/>
          <w:kern w:val="1"/>
          <w:lang w:eastAsia="ar-SA"/>
        </w:rPr>
      </w:pPr>
      <w:r w:rsidRPr="006F603A">
        <w:rPr>
          <w:b/>
          <w:bCs/>
          <w:kern w:val="1"/>
        </w:rPr>
        <w:t xml:space="preserve">Сроки </w:t>
      </w:r>
      <w:r w:rsidR="001C1494" w:rsidRPr="006F603A">
        <w:rPr>
          <w:b/>
          <w:bCs/>
          <w:kern w:val="1"/>
        </w:rPr>
        <w:t>выполнения работ</w:t>
      </w:r>
      <w:r w:rsidRPr="006F603A">
        <w:rPr>
          <w:b/>
          <w:bCs/>
          <w:kern w:val="1"/>
        </w:rPr>
        <w:t xml:space="preserve">: </w:t>
      </w:r>
      <w:r w:rsidR="008D1CE7" w:rsidRPr="008D1CE7">
        <w:rPr>
          <w:rFonts w:eastAsia="Andale Sans UI"/>
          <w:kern w:val="1"/>
          <w:lang w:eastAsia="ar-SA"/>
        </w:rPr>
        <w:t>Выдать готовое изделие, соответствующее техническому заданию контракта непосредственно Получателю на основании направления</w:t>
      </w:r>
      <w:r w:rsidR="009F5B82" w:rsidRPr="009F5B82">
        <w:rPr>
          <w:rFonts w:eastAsia="Andale Sans UI"/>
          <w:kern w:val="2"/>
          <w:lang w:eastAsia="ar-SA"/>
        </w:rPr>
        <w:t xml:space="preserve"> </w:t>
      </w:r>
      <w:r w:rsidR="009F5B82" w:rsidRPr="003B42C4">
        <w:rPr>
          <w:rFonts w:eastAsia="Andale Sans UI"/>
          <w:kern w:val="2"/>
          <w:lang w:eastAsia="ar-SA"/>
        </w:rPr>
        <w:t xml:space="preserve">в течение </w:t>
      </w:r>
      <w:r w:rsidR="009F5B82" w:rsidRPr="003B42C4">
        <w:t>60 календарных дней</w:t>
      </w:r>
      <w:r w:rsidR="009F5B82" w:rsidRPr="003B42C4">
        <w:rPr>
          <w:rFonts w:eastAsia="Andale Sans UI"/>
          <w:kern w:val="2"/>
          <w:lang w:eastAsia="ar-SA"/>
        </w:rPr>
        <w:t xml:space="preserve"> с момента получения от Заказчика списков Получателей, но не ранее </w:t>
      </w:r>
      <w:r w:rsidR="009F5B82">
        <w:rPr>
          <w:rFonts w:eastAsia="Andale Sans UI"/>
          <w:kern w:val="2"/>
          <w:lang w:eastAsia="ar-SA"/>
        </w:rPr>
        <w:t>09.01.2023</w:t>
      </w:r>
      <w:r w:rsidR="009F5B82" w:rsidRPr="003B42C4">
        <w:rPr>
          <w:rFonts w:eastAsia="Andale Sans UI"/>
          <w:kern w:val="2"/>
          <w:lang w:eastAsia="ar-SA"/>
        </w:rPr>
        <w:t xml:space="preserve"> года. Последняя выдача Изделий Получателям в рамках государственного</w:t>
      </w:r>
      <w:bookmarkStart w:id="0" w:name="_GoBack"/>
      <w:bookmarkEnd w:id="0"/>
      <w:r w:rsidR="009F5B82" w:rsidRPr="003B42C4">
        <w:rPr>
          <w:rFonts w:eastAsia="Andale Sans UI"/>
          <w:kern w:val="2"/>
          <w:lang w:eastAsia="ar-SA"/>
        </w:rPr>
        <w:t xml:space="preserve"> контракта должна быть осуществлена не позднее</w:t>
      </w:r>
      <w:r w:rsidR="009F5B82">
        <w:rPr>
          <w:rFonts w:eastAsia="Andale Sans UI"/>
          <w:kern w:val="2"/>
          <w:lang w:eastAsia="ar-SA"/>
        </w:rPr>
        <w:t xml:space="preserve"> 01 октября 2023 года</w:t>
      </w:r>
      <w:r w:rsidR="009F5B82" w:rsidRPr="003B42C4">
        <w:rPr>
          <w:rFonts w:eastAsia="Andale Sans UI"/>
          <w:kern w:val="2"/>
          <w:lang w:eastAsia="ar-SA"/>
        </w:rPr>
        <w:t>.</w:t>
      </w:r>
    </w:p>
    <w:p w:rsidR="00D7115C" w:rsidRPr="00DB3240" w:rsidRDefault="00D7115C" w:rsidP="009A4C9B">
      <w:pPr>
        <w:spacing w:after="160" w:line="259" w:lineRule="auto"/>
        <w:jc w:val="both"/>
      </w:pPr>
      <w:r w:rsidRPr="00DB3240">
        <w:rPr>
          <w:b/>
        </w:rPr>
        <w:t>Наименование, характеристики и количество поставляемых товаров</w:t>
      </w:r>
      <w:r w:rsidRPr="00DB3240">
        <w:t>, объем выполняемых работ, оказываемых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982"/>
        <w:gridCol w:w="5944"/>
        <w:gridCol w:w="1703"/>
      </w:tblGrid>
      <w:tr w:rsidR="008D1CE7" w:rsidRPr="009C26AF" w:rsidTr="00CD2C5D">
        <w:trPr>
          <w:cantSplit/>
          <w:trHeight w:val="458"/>
          <w:tblHeader/>
        </w:trPr>
        <w:tc>
          <w:tcPr>
            <w:tcW w:w="278" w:type="pct"/>
            <w:vMerge w:val="restart"/>
            <w:vAlign w:val="center"/>
          </w:tcPr>
          <w:p w:rsidR="008D1CE7" w:rsidRPr="00355BFD" w:rsidRDefault="008D1CE7" w:rsidP="009C26AF">
            <w:pPr>
              <w:contextualSpacing/>
              <w:jc w:val="center"/>
              <w:rPr>
                <w:sz w:val="20"/>
                <w:szCs w:val="20"/>
              </w:rPr>
            </w:pPr>
            <w:r w:rsidRPr="00355BFD">
              <w:rPr>
                <w:sz w:val="20"/>
                <w:szCs w:val="20"/>
              </w:rPr>
              <w:t>№</w:t>
            </w:r>
          </w:p>
          <w:p w:rsidR="008D1CE7" w:rsidRPr="00355BFD" w:rsidRDefault="008D1CE7" w:rsidP="009C26AF">
            <w:pPr>
              <w:contextualSpacing/>
              <w:jc w:val="center"/>
              <w:rPr>
                <w:sz w:val="20"/>
                <w:szCs w:val="20"/>
              </w:rPr>
            </w:pPr>
            <w:r w:rsidRPr="00355BFD">
              <w:rPr>
                <w:sz w:val="20"/>
                <w:szCs w:val="20"/>
              </w:rPr>
              <w:t>п/п</w:t>
            </w:r>
          </w:p>
        </w:tc>
        <w:tc>
          <w:tcPr>
            <w:tcW w:w="972" w:type="pct"/>
            <w:vMerge w:val="restart"/>
            <w:vAlign w:val="center"/>
          </w:tcPr>
          <w:p w:rsidR="008D1CE7" w:rsidRPr="00355BFD" w:rsidRDefault="008D1CE7" w:rsidP="009C26AF">
            <w:pPr>
              <w:contextualSpacing/>
              <w:jc w:val="center"/>
              <w:rPr>
                <w:sz w:val="20"/>
                <w:szCs w:val="20"/>
              </w:rPr>
            </w:pPr>
            <w:r w:rsidRPr="00355BFD">
              <w:rPr>
                <w:sz w:val="20"/>
                <w:szCs w:val="20"/>
              </w:rPr>
              <w:t xml:space="preserve">Наименование </w:t>
            </w:r>
          </w:p>
        </w:tc>
        <w:tc>
          <w:tcPr>
            <w:tcW w:w="3750" w:type="pct"/>
            <w:gridSpan w:val="2"/>
            <w:vAlign w:val="center"/>
          </w:tcPr>
          <w:p w:rsidR="008D1CE7" w:rsidRPr="00355BFD" w:rsidRDefault="008D1CE7" w:rsidP="009C26AF">
            <w:pPr>
              <w:contextualSpacing/>
              <w:jc w:val="center"/>
              <w:rPr>
                <w:sz w:val="20"/>
                <w:szCs w:val="20"/>
              </w:rPr>
            </w:pPr>
            <w:r w:rsidRPr="00355BFD">
              <w:rPr>
                <w:sz w:val="20"/>
                <w:szCs w:val="20"/>
              </w:rPr>
              <w:t>Описание (характеристики) объекта закупки</w:t>
            </w:r>
            <w:r w:rsidRPr="00355BFD">
              <w:rPr>
                <w:sz w:val="20"/>
                <w:szCs w:val="20"/>
                <w:vertAlign w:val="superscript"/>
              </w:rPr>
              <w:footnoteReference w:id="1"/>
            </w:r>
          </w:p>
        </w:tc>
      </w:tr>
      <w:tr w:rsidR="008D1CE7" w:rsidRPr="009C26AF" w:rsidTr="00CD2C5D">
        <w:trPr>
          <w:cantSplit/>
          <w:trHeight w:val="1414"/>
          <w:tblHeader/>
        </w:trPr>
        <w:tc>
          <w:tcPr>
            <w:tcW w:w="278" w:type="pct"/>
            <w:vMerge/>
            <w:vAlign w:val="center"/>
          </w:tcPr>
          <w:p w:rsidR="008D1CE7" w:rsidRPr="009C26AF" w:rsidRDefault="008D1CE7" w:rsidP="009C26AF">
            <w:pPr>
              <w:autoSpaceDE w:val="0"/>
              <w:autoSpaceDN w:val="0"/>
              <w:adjustRightInd w:val="0"/>
              <w:jc w:val="center"/>
              <w:rPr>
                <w:sz w:val="22"/>
                <w:szCs w:val="22"/>
              </w:rPr>
            </w:pPr>
          </w:p>
        </w:tc>
        <w:tc>
          <w:tcPr>
            <w:tcW w:w="972" w:type="pct"/>
            <w:vMerge/>
            <w:vAlign w:val="center"/>
          </w:tcPr>
          <w:p w:rsidR="008D1CE7" w:rsidRPr="009C26AF" w:rsidRDefault="008D1CE7" w:rsidP="009C26AF">
            <w:pPr>
              <w:autoSpaceDE w:val="0"/>
              <w:autoSpaceDN w:val="0"/>
              <w:adjustRightInd w:val="0"/>
              <w:jc w:val="center"/>
              <w:rPr>
                <w:sz w:val="22"/>
                <w:szCs w:val="22"/>
              </w:rPr>
            </w:pPr>
          </w:p>
        </w:tc>
        <w:tc>
          <w:tcPr>
            <w:tcW w:w="2915" w:type="pct"/>
            <w:vAlign w:val="center"/>
          </w:tcPr>
          <w:p w:rsidR="008D1CE7" w:rsidRPr="00355BFD" w:rsidRDefault="008D1CE7" w:rsidP="009C26AF">
            <w:pPr>
              <w:contextualSpacing/>
              <w:jc w:val="center"/>
            </w:pPr>
            <w:r w:rsidRPr="00355BFD">
              <w:rPr>
                <w:sz w:val="20"/>
                <w:szCs w:val="20"/>
              </w:rPr>
              <w:t>Наименование показателя</w:t>
            </w:r>
            <w:r w:rsidRPr="00355BFD">
              <w:rPr>
                <w:vertAlign w:val="superscript"/>
              </w:rPr>
              <w:t xml:space="preserve"> </w:t>
            </w:r>
            <w:r w:rsidRPr="00355BFD">
              <w:rPr>
                <w:vertAlign w:val="superscript"/>
              </w:rPr>
              <w:footnoteReference w:id="2"/>
            </w:r>
          </w:p>
          <w:p w:rsidR="008D1CE7" w:rsidRPr="00355BFD" w:rsidRDefault="008D1CE7" w:rsidP="009C26AF">
            <w:pPr>
              <w:contextualSpacing/>
              <w:jc w:val="center"/>
              <w:rPr>
                <w:color w:val="FF0000"/>
                <w:sz w:val="20"/>
                <w:szCs w:val="20"/>
              </w:rPr>
            </w:pPr>
            <w:r w:rsidRPr="00355BFD">
              <w:rPr>
                <w:color w:val="FF0000"/>
                <w:sz w:val="20"/>
                <w:szCs w:val="20"/>
              </w:rPr>
              <w:t>(неизменяемое)</w:t>
            </w:r>
          </w:p>
        </w:tc>
        <w:tc>
          <w:tcPr>
            <w:tcW w:w="835" w:type="pct"/>
            <w:vAlign w:val="center"/>
          </w:tcPr>
          <w:p w:rsidR="008D1CE7" w:rsidRPr="00355BFD" w:rsidRDefault="008D1CE7" w:rsidP="009C26AF">
            <w:pPr>
              <w:autoSpaceDE w:val="0"/>
              <w:autoSpaceDN w:val="0"/>
              <w:adjustRightInd w:val="0"/>
              <w:contextualSpacing/>
              <w:jc w:val="center"/>
            </w:pPr>
            <w:r w:rsidRPr="00355BFD">
              <w:rPr>
                <w:sz w:val="20"/>
                <w:szCs w:val="20"/>
              </w:rPr>
              <w:t>Значения показателей, которые не могут изменяться</w:t>
            </w:r>
            <w:r w:rsidRPr="00355BFD">
              <w:rPr>
                <w:vertAlign w:val="superscript"/>
              </w:rPr>
              <w:footnoteReference w:id="3"/>
            </w:r>
          </w:p>
          <w:p w:rsidR="008D1CE7" w:rsidRPr="00355BFD" w:rsidRDefault="008D1CE7" w:rsidP="009C26AF">
            <w:pPr>
              <w:autoSpaceDE w:val="0"/>
              <w:autoSpaceDN w:val="0"/>
              <w:adjustRightInd w:val="0"/>
              <w:contextualSpacing/>
              <w:jc w:val="center"/>
              <w:rPr>
                <w:color w:val="FF0000"/>
                <w:sz w:val="20"/>
                <w:szCs w:val="20"/>
              </w:rPr>
            </w:pPr>
            <w:r w:rsidRPr="00355BFD">
              <w:rPr>
                <w:color w:val="FF0000"/>
                <w:sz w:val="20"/>
                <w:szCs w:val="20"/>
              </w:rPr>
              <w:t>(неизменяемое)</w:t>
            </w:r>
          </w:p>
        </w:tc>
      </w:tr>
      <w:tr w:rsidR="009F5B82" w:rsidRPr="00CD2C5D" w:rsidTr="00CD2C5D">
        <w:trPr>
          <w:cantSplit/>
          <w:trHeight w:val="257"/>
        </w:trPr>
        <w:tc>
          <w:tcPr>
            <w:tcW w:w="278" w:type="pct"/>
          </w:tcPr>
          <w:p w:rsidR="009F5B82" w:rsidRPr="00CD2C5D" w:rsidRDefault="009F5B82" w:rsidP="009F5B82">
            <w:pPr>
              <w:autoSpaceDE w:val="0"/>
              <w:autoSpaceDN w:val="0"/>
              <w:adjustRightInd w:val="0"/>
              <w:jc w:val="center"/>
              <w:rPr>
                <w:sz w:val="20"/>
                <w:szCs w:val="20"/>
              </w:rPr>
            </w:pPr>
            <w:r w:rsidRPr="00CD2C5D">
              <w:rPr>
                <w:sz w:val="20"/>
                <w:szCs w:val="20"/>
              </w:rPr>
              <w:t>1</w:t>
            </w:r>
          </w:p>
        </w:tc>
        <w:tc>
          <w:tcPr>
            <w:tcW w:w="972" w:type="pct"/>
          </w:tcPr>
          <w:p w:rsidR="009F5B82" w:rsidRPr="00CD2C5D" w:rsidRDefault="009F5B82" w:rsidP="009F5B82">
            <w:pPr>
              <w:rPr>
                <w:sz w:val="20"/>
                <w:szCs w:val="20"/>
              </w:rPr>
            </w:pPr>
            <w:r w:rsidRPr="00CD2C5D">
              <w:rPr>
                <w:sz w:val="20"/>
                <w:szCs w:val="20"/>
              </w:rPr>
              <w:t>Протез голени модульный (тип 1)</w:t>
            </w:r>
          </w:p>
        </w:tc>
        <w:tc>
          <w:tcPr>
            <w:tcW w:w="2915" w:type="pct"/>
          </w:tcPr>
          <w:p w:rsidR="009F5B82" w:rsidRPr="00CD2C5D" w:rsidRDefault="009F5B82" w:rsidP="009F5B82">
            <w:pPr>
              <w:autoSpaceDE w:val="0"/>
              <w:autoSpaceDN w:val="0"/>
              <w:adjustRightInd w:val="0"/>
              <w:jc w:val="both"/>
              <w:rPr>
                <w:sz w:val="20"/>
                <w:szCs w:val="20"/>
              </w:rPr>
            </w:pPr>
            <w:r w:rsidRPr="00CD2C5D">
              <w:rPr>
                <w:sz w:val="20"/>
                <w:szCs w:val="20"/>
              </w:rPr>
              <w:t xml:space="preserve">Протез голени модульный с полимерным чехлом.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CD2C5D">
              <w:rPr>
                <w:sz w:val="20"/>
                <w:szCs w:val="20"/>
              </w:rPr>
              <w:t>перлоновые</w:t>
            </w:r>
            <w:proofErr w:type="spellEnd"/>
            <w:r w:rsidRPr="00CD2C5D">
              <w:rPr>
                <w:sz w:val="20"/>
                <w:szCs w:val="20"/>
              </w:rPr>
              <w:t>.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полимерные. Крепление с использованием замка, вакуумной мембраны с выпускным клапаном, вакуумным клапаном и герметизирующим наколенником. Регулировочно-соединительные устройства соответствуют весу инвалида. Стопа для пациентов со средним уровнем активности. Тип протеза: постоянный</w:t>
            </w:r>
          </w:p>
        </w:tc>
        <w:tc>
          <w:tcPr>
            <w:tcW w:w="835" w:type="pct"/>
          </w:tcPr>
          <w:p w:rsidR="009F5B82" w:rsidRPr="00CD2C5D" w:rsidRDefault="009F5B82" w:rsidP="009F5B82">
            <w:pPr>
              <w:autoSpaceDE w:val="0"/>
              <w:autoSpaceDN w:val="0"/>
              <w:adjustRightInd w:val="0"/>
              <w:jc w:val="both"/>
              <w:rPr>
                <w:sz w:val="20"/>
                <w:szCs w:val="20"/>
              </w:rPr>
            </w:pPr>
            <w:r w:rsidRPr="00CD2C5D">
              <w:rPr>
                <w:sz w:val="20"/>
                <w:szCs w:val="20"/>
              </w:rPr>
              <w:t>Соответствует</w:t>
            </w:r>
          </w:p>
        </w:tc>
      </w:tr>
      <w:tr w:rsidR="009F5B82" w:rsidRPr="00CD2C5D" w:rsidTr="00CD2C5D">
        <w:trPr>
          <w:cantSplit/>
          <w:trHeight w:val="257"/>
        </w:trPr>
        <w:tc>
          <w:tcPr>
            <w:tcW w:w="278" w:type="pct"/>
          </w:tcPr>
          <w:p w:rsidR="009F5B82" w:rsidRPr="00CD2C5D" w:rsidRDefault="009F5B82" w:rsidP="009F5B82">
            <w:pPr>
              <w:autoSpaceDE w:val="0"/>
              <w:autoSpaceDN w:val="0"/>
              <w:adjustRightInd w:val="0"/>
              <w:jc w:val="center"/>
              <w:rPr>
                <w:sz w:val="20"/>
                <w:szCs w:val="20"/>
              </w:rPr>
            </w:pPr>
            <w:r w:rsidRPr="00CD2C5D">
              <w:rPr>
                <w:sz w:val="20"/>
                <w:szCs w:val="20"/>
              </w:rPr>
              <w:t>2</w:t>
            </w:r>
          </w:p>
        </w:tc>
        <w:tc>
          <w:tcPr>
            <w:tcW w:w="972" w:type="pct"/>
          </w:tcPr>
          <w:p w:rsidR="009F5B82" w:rsidRPr="00CD2C5D" w:rsidRDefault="009F5B82" w:rsidP="009F5B82">
            <w:pPr>
              <w:rPr>
                <w:sz w:val="20"/>
                <w:szCs w:val="20"/>
              </w:rPr>
            </w:pPr>
            <w:r w:rsidRPr="00CD2C5D">
              <w:rPr>
                <w:sz w:val="20"/>
                <w:szCs w:val="20"/>
              </w:rPr>
              <w:t>Протез голени модульный (тип 2)</w:t>
            </w:r>
          </w:p>
        </w:tc>
        <w:tc>
          <w:tcPr>
            <w:tcW w:w="2915" w:type="pct"/>
          </w:tcPr>
          <w:p w:rsidR="009F5B82" w:rsidRPr="00CD2C5D" w:rsidRDefault="009F5B82" w:rsidP="009F5B82">
            <w:pPr>
              <w:jc w:val="both"/>
              <w:rPr>
                <w:sz w:val="20"/>
                <w:szCs w:val="20"/>
              </w:rPr>
            </w:pPr>
            <w:r w:rsidRPr="00CD2C5D">
              <w:rPr>
                <w:sz w:val="20"/>
                <w:szCs w:val="20"/>
              </w:rPr>
              <w:t xml:space="preserve">Протез голени модульный без силиконового чехла.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CD2C5D">
              <w:rPr>
                <w:sz w:val="20"/>
                <w:szCs w:val="20"/>
              </w:rPr>
              <w:t>перлоновые</w:t>
            </w:r>
            <w:proofErr w:type="spellEnd"/>
            <w:r w:rsidRPr="00CD2C5D">
              <w:rPr>
                <w:sz w:val="20"/>
                <w:szCs w:val="20"/>
              </w:rPr>
              <w:t>.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Допускается применение вкладной гильзы из вспененных. Крепление протеза с использованием кожаных полуфабрикатов (без шин), с использованием тканевого наколенника, за счёт формы приёмной гильзы (по медицинским показаниям). Регулировочно-соединительные устройства соответствуют весу инвалида. Стопа для пациентов с низким уровнем активности. Тип протеза: постоянный.</w:t>
            </w:r>
          </w:p>
        </w:tc>
        <w:tc>
          <w:tcPr>
            <w:tcW w:w="835" w:type="pct"/>
          </w:tcPr>
          <w:p w:rsidR="009F5B82" w:rsidRPr="00CD2C5D" w:rsidRDefault="009F5B82" w:rsidP="009F5B82">
            <w:pPr>
              <w:autoSpaceDE w:val="0"/>
              <w:autoSpaceDN w:val="0"/>
              <w:adjustRightInd w:val="0"/>
              <w:jc w:val="both"/>
              <w:rPr>
                <w:sz w:val="20"/>
                <w:szCs w:val="20"/>
              </w:rPr>
            </w:pPr>
            <w:r w:rsidRPr="00CD2C5D">
              <w:rPr>
                <w:sz w:val="20"/>
                <w:szCs w:val="20"/>
              </w:rPr>
              <w:t>Соответствует</w:t>
            </w:r>
          </w:p>
        </w:tc>
      </w:tr>
      <w:tr w:rsidR="009F5B82" w:rsidRPr="00CD2C5D" w:rsidTr="00CD2C5D">
        <w:trPr>
          <w:cantSplit/>
          <w:trHeight w:val="257"/>
        </w:trPr>
        <w:tc>
          <w:tcPr>
            <w:tcW w:w="278" w:type="pct"/>
          </w:tcPr>
          <w:p w:rsidR="009F5B82" w:rsidRPr="00CD2C5D" w:rsidRDefault="009F5B82" w:rsidP="009F5B82">
            <w:pPr>
              <w:autoSpaceDE w:val="0"/>
              <w:autoSpaceDN w:val="0"/>
              <w:adjustRightInd w:val="0"/>
              <w:jc w:val="center"/>
              <w:rPr>
                <w:sz w:val="20"/>
                <w:szCs w:val="20"/>
              </w:rPr>
            </w:pPr>
            <w:r w:rsidRPr="00CD2C5D">
              <w:rPr>
                <w:sz w:val="20"/>
                <w:szCs w:val="20"/>
              </w:rPr>
              <w:lastRenderedPageBreak/>
              <w:t>3</w:t>
            </w:r>
          </w:p>
        </w:tc>
        <w:tc>
          <w:tcPr>
            <w:tcW w:w="972" w:type="pct"/>
          </w:tcPr>
          <w:p w:rsidR="009F5B82" w:rsidRPr="00CD2C5D" w:rsidRDefault="009F5B82" w:rsidP="009F5B82">
            <w:pPr>
              <w:rPr>
                <w:sz w:val="20"/>
                <w:szCs w:val="20"/>
              </w:rPr>
            </w:pPr>
            <w:r w:rsidRPr="00CD2C5D">
              <w:rPr>
                <w:sz w:val="20"/>
                <w:szCs w:val="20"/>
              </w:rPr>
              <w:t>Протез голени модульный (тип 3)</w:t>
            </w:r>
          </w:p>
        </w:tc>
        <w:tc>
          <w:tcPr>
            <w:tcW w:w="2915" w:type="pct"/>
          </w:tcPr>
          <w:p w:rsidR="009F5B82" w:rsidRPr="00CD2C5D" w:rsidRDefault="009F5B82" w:rsidP="009F5B82">
            <w:pPr>
              <w:tabs>
                <w:tab w:val="left" w:pos="708"/>
              </w:tabs>
              <w:jc w:val="both"/>
              <w:rPr>
                <w:sz w:val="20"/>
                <w:szCs w:val="20"/>
              </w:rPr>
            </w:pPr>
            <w:r w:rsidRPr="00CD2C5D">
              <w:rPr>
                <w:sz w:val="20"/>
                <w:szCs w:val="20"/>
              </w:rPr>
              <w:t xml:space="preserve">Протез голени модульный без силиконового чехла.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CD2C5D">
              <w:rPr>
                <w:sz w:val="20"/>
                <w:szCs w:val="20"/>
              </w:rPr>
              <w:t>перлоновые</w:t>
            </w:r>
            <w:proofErr w:type="spellEnd"/>
            <w:r w:rsidRPr="00CD2C5D">
              <w:rPr>
                <w:sz w:val="20"/>
                <w:szCs w:val="20"/>
              </w:rPr>
              <w:t>.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Допускается применение вкладной гильзы из вспененных. Крепление протеза с использованием кожаных полуфабрикатов (без шин), с использованием тканевого наколенника, за счёт формы приёмной гильзы (по медицинским показаниям). Регулировочно-соединительные устройства соответствуют весу инвалида. Стопа для пациентов со средней степенью активности. Тип протеза: постоянный.</w:t>
            </w:r>
          </w:p>
        </w:tc>
        <w:tc>
          <w:tcPr>
            <w:tcW w:w="835" w:type="pct"/>
          </w:tcPr>
          <w:p w:rsidR="009F5B82" w:rsidRPr="00CD2C5D" w:rsidRDefault="009F5B82" w:rsidP="009F5B82">
            <w:pPr>
              <w:autoSpaceDE w:val="0"/>
              <w:autoSpaceDN w:val="0"/>
              <w:adjustRightInd w:val="0"/>
              <w:jc w:val="both"/>
              <w:rPr>
                <w:sz w:val="20"/>
                <w:szCs w:val="20"/>
              </w:rPr>
            </w:pPr>
            <w:r w:rsidRPr="00CD2C5D">
              <w:rPr>
                <w:sz w:val="20"/>
                <w:szCs w:val="20"/>
              </w:rPr>
              <w:t>Соответствует</w:t>
            </w:r>
          </w:p>
        </w:tc>
      </w:tr>
      <w:tr w:rsidR="009F5B82" w:rsidRPr="00CD2C5D" w:rsidTr="00CD2C5D">
        <w:trPr>
          <w:cantSplit/>
          <w:trHeight w:val="257"/>
        </w:trPr>
        <w:tc>
          <w:tcPr>
            <w:tcW w:w="278" w:type="pct"/>
          </w:tcPr>
          <w:p w:rsidR="009F5B82" w:rsidRPr="00CD2C5D" w:rsidRDefault="009F5B82" w:rsidP="009F5B82">
            <w:pPr>
              <w:autoSpaceDE w:val="0"/>
              <w:autoSpaceDN w:val="0"/>
              <w:adjustRightInd w:val="0"/>
              <w:jc w:val="center"/>
              <w:rPr>
                <w:sz w:val="20"/>
                <w:szCs w:val="20"/>
              </w:rPr>
            </w:pPr>
            <w:r w:rsidRPr="00CD2C5D">
              <w:rPr>
                <w:sz w:val="20"/>
                <w:szCs w:val="20"/>
              </w:rPr>
              <w:t>4</w:t>
            </w:r>
          </w:p>
        </w:tc>
        <w:tc>
          <w:tcPr>
            <w:tcW w:w="972" w:type="pct"/>
          </w:tcPr>
          <w:p w:rsidR="009F5B82" w:rsidRPr="00CD2C5D" w:rsidRDefault="009F5B82" w:rsidP="009F5B82">
            <w:pPr>
              <w:rPr>
                <w:sz w:val="20"/>
                <w:szCs w:val="20"/>
              </w:rPr>
            </w:pPr>
            <w:r w:rsidRPr="00CD2C5D">
              <w:rPr>
                <w:sz w:val="20"/>
                <w:szCs w:val="20"/>
              </w:rPr>
              <w:t>Протез голени модульный (тип 4)</w:t>
            </w:r>
          </w:p>
        </w:tc>
        <w:tc>
          <w:tcPr>
            <w:tcW w:w="2915" w:type="pct"/>
          </w:tcPr>
          <w:p w:rsidR="009F5B82" w:rsidRPr="00CD2C5D" w:rsidRDefault="009F5B82" w:rsidP="009F5B82">
            <w:pPr>
              <w:tabs>
                <w:tab w:val="left" w:pos="708"/>
              </w:tabs>
              <w:jc w:val="both"/>
              <w:rPr>
                <w:sz w:val="20"/>
                <w:szCs w:val="20"/>
              </w:rPr>
            </w:pPr>
            <w:r w:rsidRPr="00CD2C5D">
              <w:rPr>
                <w:sz w:val="20"/>
                <w:szCs w:val="20"/>
              </w:rPr>
              <w:t xml:space="preserve">Протез голени модульный без силиконового чехла.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CD2C5D">
              <w:rPr>
                <w:sz w:val="20"/>
                <w:szCs w:val="20"/>
              </w:rPr>
              <w:t>перлоновые</w:t>
            </w:r>
            <w:proofErr w:type="spellEnd"/>
            <w:r w:rsidRPr="00CD2C5D">
              <w:rPr>
                <w:sz w:val="20"/>
                <w:szCs w:val="20"/>
              </w:rPr>
              <w:t>.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Допускается применение вкладной гильзы из вспененных. Крепление протеза с использованием кожаных полуфабрикатов (без шин), с использованием тканевого наколенника, за счёт формы приёмной гильзы (по медицинским показаниям). Регулировочно-соединительные устройства соответствуют весу инвалида. Стопа для пациентов с высоким уровнем двигательной активности. Тип протеза: постоянный.</w:t>
            </w:r>
          </w:p>
        </w:tc>
        <w:tc>
          <w:tcPr>
            <w:tcW w:w="835" w:type="pct"/>
          </w:tcPr>
          <w:p w:rsidR="009F5B82" w:rsidRPr="00CD2C5D" w:rsidRDefault="009F5B82" w:rsidP="009F5B82">
            <w:pPr>
              <w:autoSpaceDE w:val="0"/>
              <w:autoSpaceDN w:val="0"/>
              <w:adjustRightInd w:val="0"/>
              <w:jc w:val="both"/>
              <w:rPr>
                <w:sz w:val="20"/>
                <w:szCs w:val="20"/>
              </w:rPr>
            </w:pPr>
            <w:r w:rsidRPr="00CD2C5D">
              <w:rPr>
                <w:sz w:val="20"/>
                <w:szCs w:val="20"/>
              </w:rPr>
              <w:t>Соответствует</w:t>
            </w:r>
          </w:p>
        </w:tc>
      </w:tr>
      <w:tr w:rsidR="009F5B82" w:rsidRPr="00CD2C5D" w:rsidTr="00CD2C5D">
        <w:trPr>
          <w:cantSplit/>
          <w:trHeight w:val="257"/>
        </w:trPr>
        <w:tc>
          <w:tcPr>
            <w:tcW w:w="278" w:type="pct"/>
          </w:tcPr>
          <w:p w:rsidR="009F5B82" w:rsidRPr="00CD2C5D" w:rsidRDefault="009F5B82" w:rsidP="009F5B82">
            <w:pPr>
              <w:autoSpaceDE w:val="0"/>
              <w:autoSpaceDN w:val="0"/>
              <w:adjustRightInd w:val="0"/>
              <w:jc w:val="center"/>
              <w:rPr>
                <w:sz w:val="20"/>
                <w:szCs w:val="20"/>
              </w:rPr>
            </w:pPr>
            <w:r w:rsidRPr="00CD2C5D">
              <w:rPr>
                <w:sz w:val="20"/>
                <w:szCs w:val="20"/>
              </w:rPr>
              <w:t>5</w:t>
            </w:r>
          </w:p>
        </w:tc>
        <w:tc>
          <w:tcPr>
            <w:tcW w:w="972" w:type="pct"/>
          </w:tcPr>
          <w:p w:rsidR="009F5B82" w:rsidRPr="00CD2C5D" w:rsidRDefault="009F5B82" w:rsidP="009F5B82">
            <w:pPr>
              <w:rPr>
                <w:sz w:val="20"/>
                <w:szCs w:val="20"/>
              </w:rPr>
            </w:pPr>
            <w:r w:rsidRPr="00CD2C5D">
              <w:rPr>
                <w:sz w:val="20"/>
                <w:szCs w:val="20"/>
              </w:rPr>
              <w:t>Протез голени модульный</w:t>
            </w:r>
          </w:p>
          <w:p w:rsidR="009F5B82" w:rsidRPr="00CD2C5D" w:rsidRDefault="009F5B82" w:rsidP="009F5B82">
            <w:pPr>
              <w:rPr>
                <w:sz w:val="20"/>
                <w:szCs w:val="20"/>
              </w:rPr>
            </w:pPr>
            <w:r w:rsidRPr="00CD2C5D">
              <w:rPr>
                <w:sz w:val="20"/>
                <w:szCs w:val="20"/>
              </w:rPr>
              <w:t>(тип 5)</w:t>
            </w:r>
          </w:p>
        </w:tc>
        <w:tc>
          <w:tcPr>
            <w:tcW w:w="2915" w:type="pct"/>
          </w:tcPr>
          <w:p w:rsidR="009F5B82" w:rsidRPr="00CD2C5D" w:rsidRDefault="009F5B82" w:rsidP="009F5B82">
            <w:pPr>
              <w:jc w:val="both"/>
              <w:rPr>
                <w:sz w:val="20"/>
                <w:szCs w:val="20"/>
              </w:rPr>
            </w:pPr>
            <w:r w:rsidRPr="00CD2C5D">
              <w:rPr>
                <w:sz w:val="20"/>
                <w:szCs w:val="20"/>
              </w:rPr>
              <w:t xml:space="preserve">Протез голени модульный с полимерным чехлом.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CD2C5D">
              <w:rPr>
                <w:sz w:val="20"/>
                <w:szCs w:val="20"/>
              </w:rPr>
              <w:t>перлоновые</w:t>
            </w:r>
            <w:proofErr w:type="spellEnd"/>
            <w:r w:rsidRPr="00CD2C5D">
              <w:rPr>
                <w:sz w:val="20"/>
                <w:szCs w:val="20"/>
              </w:rPr>
              <w:t>.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полимерные. Крепление с использованием замка, вакуумной мембраны с выпускным клапаном, вакуумным клапаном и герметизирующим наколенником. Регулировочно-соединительные устройства соответствуют весу инвалида. Стопа для пациентов с низким уровнем активности. Тип протеза: постоянный</w:t>
            </w:r>
          </w:p>
        </w:tc>
        <w:tc>
          <w:tcPr>
            <w:tcW w:w="835" w:type="pct"/>
          </w:tcPr>
          <w:p w:rsidR="009F5B82" w:rsidRPr="00CD2C5D" w:rsidRDefault="009F5B82" w:rsidP="009F5B82">
            <w:pPr>
              <w:autoSpaceDE w:val="0"/>
              <w:autoSpaceDN w:val="0"/>
              <w:adjustRightInd w:val="0"/>
              <w:jc w:val="both"/>
              <w:rPr>
                <w:sz w:val="20"/>
                <w:szCs w:val="20"/>
              </w:rPr>
            </w:pPr>
            <w:r w:rsidRPr="00CD2C5D">
              <w:rPr>
                <w:sz w:val="20"/>
                <w:szCs w:val="20"/>
              </w:rPr>
              <w:t>Соответствует</w:t>
            </w:r>
          </w:p>
        </w:tc>
      </w:tr>
      <w:tr w:rsidR="009F5B82" w:rsidRPr="00CD2C5D" w:rsidTr="00CD2C5D">
        <w:trPr>
          <w:cantSplit/>
          <w:trHeight w:val="257"/>
        </w:trPr>
        <w:tc>
          <w:tcPr>
            <w:tcW w:w="278" w:type="pct"/>
          </w:tcPr>
          <w:p w:rsidR="009F5B82" w:rsidRPr="00CD2C5D" w:rsidRDefault="009F5B82" w:rsidP="009F5B82">
            <w:pPr>
              <w:autoSpaceDE w:val="0"/>
              <w:autoSpaceDN w:val="0"/>
              <w:adjustRightInd w:val="0"/>
              <w:jc w:val="center"/>
              <w:rPr>
                <w:sz w:val="20"/>
                <w:szCs w:val="20"/>
              </w:rPr>
            </w:pPr>
            <w:r w:rsidRPr="00CD2C5D">
              <w:rPr>
                <w:sz w:val="20"/>
                <w:szCs w:val="20"/>
              </w:rPr>
              <w:t>6</w:t>
            </w:r>
          </w:p>
        </w:tc>
        <w:tc>
          <w:tcPr>
            <w:tcW w:w="972" w:type="pct"/>
          </w:tcPr>
          <w:p w:rsidR="009F5B82" w:rsidRPr="00CD2C5D" w:rsidRDefault="009F5B82" w:rsidP="009F5B82">
            <w:pPr>
              <w:rPr>
                <w:sz w:val="20"/>
                <w:szCs w:val="20"/>
              </w:rPr>
            </w:pPr>
            <w:r w:rsidRPr="00CD2C5D">
              <w:rPr>
                <w:sz w:val="20"/>
                <w:szCs w:val="20"/>
              </w:rPr>
              <w:t>Протез голени для купания</w:t>
            </w:r>
          </w:p>
        </w:tc>
        <w:tc>
          <w:tcPr>
            <w:tcW w:w="2915" w:type="pct"/>
          </w:tcPr>
          <w:p w:rsidR="009F5B82" w:rsidRPr="00CD2C5D" w:rsidRDefault="009F5B82" w:rsidP="009F5B82">
            <w:pPr>
              <w:tabs>
                <w:tab w:val="left" w:pos="708"/>
              </w:tabs>
              <w:jc w:val="both"/>
              <w:rPr>
                <w:sz w:val="20"/>
                <w:szCs w:val="20"/>
              </w:rPr>
            </w:pPr>
            <w:r w:rsidRPr="00CD2C5D">
              <w:rPr>
                <w:sz w:val="20"/>
                <w:szCs w:val="20"/>
              </w:rPr>
              <w:t xml:space="preserve">Протез голени модульный. Формообразующая часть косметической облицовки: гибкая голенная система с интегрированной косметической облицовкой, без косметической облицовки. Приемная гильза индивидуальная (одна пробная гильза). Материал индивидуальной постоянной гильзы: литьевой слоистый пластик на основе акриловых смол. В качестве вкладного элемента применяются чехлы полимерные. Крепление протеза с использованием полимерного наколенника и формы гильзы. Стопа </w:t>
            </w:r>
            <w:proofErr w:type="spellStart"/>
            <w:r w:rsidRPr="00CD2C5D">
              <w:rPr>
                <w:sz w:val="20"/>
                <w:szCs w:val="20"/>
              </w:rPr>
              <w:t>бесшарнирная</w:t>
            </w:r>
            <w:proofErr w:type="spellEnd"/>
            <w:r w:rsidRPr="00CD2C5D">
              <w:rPr>
                <w:sz w:val="20"/>
                <w:szCs w:val="20"/>
              </w:rPr>
              <w:t>, монолитная водоустойчивая, с противоскользящим профилем подошвы.  Тип протеза: протез для купания.</w:t>
            </w:r>
          </w:p>
        </w:tc>
        <w:tc>
          <w:tcPr>
            <w:tcW w:w="835" w:type="pct"/>
          </w:tcPr>
          <w:p w:rsidR="009F5B82" w:rsidRPr="00CD2C5D" w:rsidRDefault="009F5B82" w:rsidP="009F5B82">
            <w:pPr>
              <w:autoSpaceDE w:val="0"/>
              <w:autoSpaceDN w:val="0"/>
              <w:adjustRightInd w:val="0"/>
              <w:jc w:val="both"/>
              <w:rPr>
                <w:sz w:val="20"/>
                <w:szCs w:val="20"/>
              </w:rPr>
            </w:pPr>
            <w:r w:rsidRPr="00CD2C5D">
              <w:rPr>
                <w:sz w:val="20"/>
                <w:szCs w:val="20"/>
              </w:rPr>
              <w:t>Соответствует</w:t>
            </w:r>
          </w:p>
        </w:tc>
      </w:tr>
      <w:tr w:rsidR="009F5B82" w:rsidRPr="00CD2C5D" w:rsidTr="00CD2C5D">
        <w:trPr>
          <w:cantSplit/>
          <w:trHeight w:val="257"/>
        </w:trPr>
        <w:tc>
          <w:tcPr>
            <w:tcW w:w="278" w:type="pct"/>
          </w:tcPr>
          <w:p w:rsidR="009F5B82" w:rsidRPr="00CD2C5D" w:rsidRDefault="009F5B82" w:rsidP="009F5B82">
            <w:pPr>
              <w:autoSpaceDE w:val="0"/>
              <w:autoSpaceDN w:val="0"/>
              <w:adjustRightInd w:val="0"/>
              <w:jc w:val="center"/>
              <w:rPr>
                <w:sz w:val="20"/>
                <w:szCs w:val="20"/>
              </w:rPr>
            </w:pPr>
            <w:r w:rsidRPr="00CD2C5D">
              <w:rPr>
                <w:sz w:val="20"/>
                <w:szCs w:val="20"/>
              </w:rPr>
              <w:lastRenderedPageBreak/>
              <w:t>7</w:t>
            </w:r>
          </w:p>
        </w:tc>
        <w:tc>
          <w:tcPr>
            <w:tcW w:w="972" w:type="pct"/>
          </w:tcPr>
          <w:p w:rsidR="009F5B82" w:rsidRPr="00CD2C5D" w:rsidRDefault="009F5B82" w:rsidP="009F5B82">
            <w:pPr>
              <w:rPr>
                <w:sz w:val="20"/>
                <w:szCs w:val="20"/>
              </w:rPr>
            </w:pPr>
            <w:r w:rsidRPr="00CD2C5D">
              <w:rPr>
                <w:sz w:val="20"/>
                <w:szCs w:val="20"/>
              </w:rPr>
              <w:t>Протез бедра для купания</w:t>
            </w:r>
          </w:p>
        </w:tc>
        <w:tc>
          <w:tcPr>
            <w:tcW w:w="2915" w:type="pct"/>
          </w:tcPr>
          <w:p w:rsidR="009F5B82" w:rsidRPr="00CD2C5D" w:rsidRDefault="009F5B82" w:rsidP="009F5B82">
            <w:pPr>
              <w:tabs>
                <w:tab w:val="left" w:pos="708"/>
              </w:tabs>
              <w:jc w:val="both"/>
              <w:rPr>
                <w:sz w:val="20"/>
                <w:szCs w:val="20"/>
              </w:rPr>
            </w:pPr>
            <w:r w:rsidRPr="00CD2C5D">
              <w:rPr>
                <w:sz w:val="20"/>
                <w:szCs w:val="20"/>
              </w:rPr>
              <w:t>Протез бедра модульный. Приёмная гильза индивидуальная (одна пробная гильза).  Материал индивидуальной постоянной гильзы: литьевой слоистый пластик на основе акриловых смол. В качестве вкладного элемента применяются чехлы полимерные, крепление с использованием замка, вакуумной мембраны с выпускным клапаном. Регулировочно-соединительные устройства соответствуют весу инвалида. Коленный шарнир полицентрический с функцией ручного замка, влагозащищенный. Стопа влагозащищенная. Подошва стопы имеет специальное рифление, предотвращающее проскальзывание на мокрых и скользких поверхностях. Тип протеза: купальный.</w:t>
            </w:r>
          </w:p>
        </w:tc>
        <w:tc>
          <w:tcPr>
            <w:tcW w:w="835" w:type="pct"/>
          </w:tcPr>
          <w:p w:rsidR="009F5B82" w:rsidRPr="00CD2C5D" w:rsidRDefault="009F5B82" w:rsidP="009F5B82">
            <w:pPr>
              <w:autoSpaceDE w:val="0"/>
              <w:autoSpaceDN w:val="0"/>
              <w:adjustRightInd w:val="0"/>
              <w:jc w:val="both"/>
              <w:rPr>
                <w:sz w:val="20"/>
                <w:szCs w:val="20"/>
              </w:rPr>
            </w:pPr>
            <w:r w:rsidRPr="00CD2C5D">
              <w:rPr>
                <w:sz w:val="20"/>
                <w:szCs w:val="20"/>
              </w:rPr>
              <w:t>Соответствует</w:t>
            </w:r>
          </w:p>
        </w:tc>
      </w:tr>
      <w:tr w:rsidR="009F5B82" w:rsidRPr="00CD2C5D" w:rsidTr="00CD2C5D">
        <w:trPr>
          <w:cantSplit/>
          <w:trHeight w:val="257"/>
        </w:trPr>
        <w:tc>
          <w:tcPr>
            <w:tcW w:w="278" w:type="pct"/>
          </w:tcPr>
          <w:p w:rsidR="009F5B82" w:rsidRPr="00CD2C5D" w:rsidRDefault="009F5B82" w:rsidP="009F5B82">
            <w:pPr>
              <w:autoSpaceDE w:val="0"/>
              <w:autoSpaceDN w:val="0"/>
              <w:adjustRightInd w:val="0"/>
              <w:jc w:val="center"/>
              <w:rPr>
                <w:sz w:val="20"/>
                <w:szCs w:val="20"/>
              </w:rPr>
            </w:pPr>
            <w:r w:rsidRPr="00CD2C5D">
              <w:rPr>
                <w:sz w:val="20"/>
                <w:szCs w:val="20"/>
              </w:rPr>
              <w:t>8</w:t>
            </w:r>
          </w:p>
        </w:tc>
        <w:tc>
          <w:tcPr>
            <w:tcW w:w="972" w:type="pct"/>
          </w:tcPr>
          <w:p w:rsidR="009F5B82" w:rsidRPr="00CD2C5D" w:rsidRDefault="009F5B82" w:rsidP="009F5B82">
            <w:pPr>
              <w:rPr>
                <w:sz w:val="20"/>
                <w:szCs w:val="20"/>
              </w:rPr>
            </w:pPr>
            <w:r w:rsidRPr="00CD2C5D">
              <w:rPr>
                <w:sz w:val="20"/>
                <w:szCs w:val="20"/>
              </w:rPr>
              <w:t>Протез бедра модульный (тип 1)</w:t>
            </w:r>
          </w:p>
        </w:tc>
        <w:tc>
          <w:tcPr>
            <w:tcW w:w="2915" w:type="pct"/>
          </w:tcPr>
          <w:p w:rsidR="009F5B82" w:rsidRPr="00CD2C5D" w:rsidRDefault="009F5B82" w:rsidP="009F5B82">
            <w:pPr>
              <w:tabs>
                <w:tab w:val="left" w:pos="708"/>
              </w:tabs>
              <w:jc w:val="both"/>
              <w:rPr>
                <w:sz w:val="20"/>
                <w:szCs w:val="20"/>
              </w:rPr>
            </w:pPr>
            <w:r w:rsidRPr="00CD2C5D">
              <w:rPr>
                <w:sz w:val="20"/>
                <w:szCs w:val="20"/>
              </w:rPr>
              <w:t xml:space="preserve">Протез бедра модульный.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CD2C5D">
              <w:rPr>
                <w:sz w:val="20"/>
                <w:szCs w:val="20"/>
              </w:rPr>
              <w:t>перлоновые</w:t>
            </w:r>
            <w:proofErr w:type="spellEnd"/>
            <w:r w:rsidRPr="00CD2C5D">
              <w:rPr>
                <w:sz w:val="20"/>
                <w:szCs w:val="20"/>
              </w:rPr>
              <w:t xml:space="preserve">. Приёмная гильза индивидуальная (две пробные гильзы). Материал индивидуальной постоянной гильзы: литьевой слоистый пластик на основе акриловых смол, листовой термопластичный пластик.  Допускается применение вкладных гильз из вспененных материалов и эластичных термопластов (для </w:t>
            </w:r>
            <w:proofErr w:type="spellStart"/>
            <w:r w:rsidRPr="00CD2C5D">
              <w:rPr>
                <w:sz w:val="20"/>
                <w:szCs w:val="20"/>
              </w:rPr>
              <w:t>скелетированной</w:t>
            </w:r>
            <w:proofErr w:type="spellEnd"/>
            <w:r w:rsidRPr="00CD2C5D">
              <w:rPr>
                <w:sz w:val="20"/>
                <w:szCs w:val="20"/>
              </w:rPr>
              <w:t xml:space="preserve"> гильзы). Крепление протеза поясное, с использованием бандажа, вакуумное.  Регулировочно-соединительные устройства соответствуют весу инвалида. Коленный шарнир пневматический многоосный, с высокой </w:t>
            </w:r>
            <w:proofErr w:type="spellStart"/>
            <w:r w:rsidRPr="00CD2C5D">
              <w:rPr>
                <w:sz w:val="20"/>
                <w:szCs w:val="20"/>
              </w:rPr>
              <w:t>подкосоустойчивостью</w:t>
            </w:r>
            <w:proofErr w:type="spellEnd"/>
            <w:r w:rsidRPr="00CD2C5D">
              <w:rPr>
                <w:sz w:val="20"/>
                <w:szCs w:val="20"/>
              </w:rPr>
              <w:t xml:space="preserve"> и независимым бесступенчатым механизмом регулирования фазы сгибания и разгибания, коленный шарнир пневматический одноосный с возможностью регулирования скорости ходьбы, с активным механизмом обеспечения </w:t>
            </w:r>
            <w:proofErr w:type="spellStart"/>
            <w:r w:rsidRPr="00CD2C5D">
              <w:rPr>
                <w:sz w:val="20"/>
                <w:szCs w:val="20"/>
              </w:rPr>
              <w:t>подкосоустойчивости</w:t>
            </w:r>
            <w:proofErr w:type="spellEnd"/>
            <w:r w:rsidRPr="00CD2C5D">
              <w:rPr>
                <w:sz w:val="20"/>
                <w:szCs w:val="20"/>
              </w:rPr>
              <w:t xml:space="preserve">, </w:t>
            </w:r>
            <w:proofErr w:type="spellStart"/>
            <w:r w:rsidRPr="00CD2C5D">
              <w:rPr>
                <w:sz w:val="20"/>
                <w:szCs w:val="20"/>
              </w:rPr>
              <w:t>отключающимся</w:t>
            </w:r>
            <w:proofErr w:type="spellEnd"/>
            <w:r w:rsidRPr="00CD2C5D">
              <w:rPr>
                <w:sz w:val="20"/>
                <w:szCs w:val="20"/>
              </w:rPr>
              <w:t xml:space="preserve"> при переходе на передний отдел стопы. Стопа для пациентов со средним уровнем активности Тип протеза: постоянный</w:t>
            </w:r>
          </w:p>
        </w:tc>
        <w:tc>
          <w:tcPr>
            <w:tcW w:w="835" w:type="pct"/>
          </w:tcPr>
          <w:p w:rsidR="009F5B82" w:rsidRPr="00CD2C5D" w:rsidRDefault="009F5B82" w:rsidP="009F5B82">
            <w:pPr>
              <w:autoSpaceDE w:val="0"/>
              <w:autoSpaceDN w:val="0"/>
              <w:adjustRightInd w:val="0"/>
              <w:jc w:val="both"/>
              <w:rPr>
                <w:sz w:val="20"/>
                <w:szCs w:val="20"/>
              </w:rPr>
            </w:pPr>
            <w:r w:rsidRPr="00CD2C5D">
              <w:rPr>
                <w:sz w:val="20"/>
                <w:szCs w:val="20"/>
              </w:rPr>
              <w:t>Соответствует</w:t>
            </w:r>
          </w:p>
        </w:tc>
      </w:tr>
      <w:tr w:rsidR="009F5B82" w:rsidRPr="00CD2C5D" w:rsidTr="00CD2C5D">
        <w:trPr>
          <w:cantSplit/>
          <w:trHeight w:val="257"/>
        </w:trPr>
        <w:tc>
          <w:tcPr>
            <w:tcW w:w="278" w:type="pct"/>
          </w:tcPr>
          <w:p w:rsidR="009F5B82" w:rsidRPr="00CD2C5D" w:rsidRDefault="009F5B82" w:rsidP="009F5B82">
            <w:pPr>
              <w:autoSpaceDE w:val="0"/>
              <w:autoSpaceDN w:val="0"/>
              <w:adjustRightInd w:val="0"/>
              <w:jc w:val="center"/>
              <w:rPr>
                <w:sz w:val="20"/>
                <w:szCs w:val="20"/>
              </w:rPr>
            </w:pPr>
            <w:r w:rsidRPr="00CD2C5D">
              <w:rPr>
                <w:sz w:val="20"/>
                <w:szCs w:val="20"/>
              </w:rPr>
              <w:t>9</w:t>
            </w:r>
          </w:p>
        </w:tc>
        <w:tc>
          <w:tcPr>
            <w:tcW w:w="972" w:type="pct"/>
          </w:tcPr>
          <w:p w:rsidR="009F5B82" w:rsidRPr="00CD2C5D" w:rsidRDefault="009F5B82" w:rsidP="009F5B82">
            <w:pPr>
              <w:rPr>
                <w:sz w:val="20"/>
                <w:szCs w:val="20"/>
              </w:rPr>
            </w:pPr>
            <w:r w:rsidRPr="00CD2C5D">
              <w:rPr>
                <w:sz w:val="20"/>
                <w:szCs w:val="20"/>
              </w:rPr>
              <w:t>Протез бедра модульный (тип 2)</w:t>
            </w:r>
          </w:p>
        </w:tc>
        <w:tc>
          <w:tcPr>
            <w:tcW w:w="2915" w:type="pct"/>
          </w:tcPr>
          <w:p w:rsidR="009F5B82" w:rsidRPr="00CD2C5D" w:rsidRDefault="009F5B82" w:rsidP="009F5B82">
            <w:pPr>
              <w:tabs>
                <w:tab w:val="left" w:pos="708"/>
              </w:tabs>
              <w:jc w:val="both"/>
              <w:rPr>
                <w:sz w:val="20"/>
                <w:szCs w:val="20"/>
              </w:rPr>
            </w:pPr>
            <w:r w:rsidRPr="00CD2C5D">
              <w:rPr>
                <w:sz w:val="20"/>
                <w:szCs w:val="20"/>
              </w:rPr>
              <w:t xml:space="preserve">Протез бедра модульный.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CD2C5D">
              <w:rPr>
                <w:sz w:val="20"/>
                <w:szCs w:val="20"/>
              </w:rPr>
              <w:t>перлоновые</w:t>
            </w:r>
            <w:proofErr w:type="spellEnd"/>
            <w:r w:rsidRPr="00CD2C5D">
              <w:rPr>
                <w:sz w:val="20"/>
                <w:szCs w:val="20"/>
              </w:rPr>
              <w:t xml:space="preserve">.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полимерные, крепление с использованием замка, вакуумной мембраны с выпускным клапаном. Регулировочно-соединительные устройства соответствуют весу инвалида. Коленный шарнир механический многоосный с высокой </w:t>
            </w:r>
            <w:proofErr w:type="spellStart"/>
            <w:r w:rsidRPr="00CD2C5D">
              <w:rPr>
                <w:sz w:val="20"/>
                <w:szCs w:val="20"/>
              </w:rPr>
              <w:t>подкосоустойчивостью</w:t>
            </w:r>
            <w:proofErr w:type="spellEnd"/>
            <w:r w:rsidRPr="00CD2C5D">
              <w:rPr>
                <w:sz w:val="20"/>
                <w:szCs w:val="20"/>
              </w:rPr>
              <w:t xml:space="preserve"> и зависимым бесступенчатым механизмом регулирования фазы сгибания и разгибания, коленный шарнир одноосный замковый, коленный шарнир одноосный с механизмом торможения с зависимым механическим регулированием фаз сгибания-разгибания. Стопа для пациентов с низким уровнем активности. Тип протеза: любой по назначению.</w:t>
            </w:r>
          </w:p>
        </w:tc>
        <w:tc>
          <w:tcPr>
            <w:tcW w:w="835" w:type="pct"/>
          </w:tcPr>
          <w:p w:rsidR="009F5B82" w:rsidRPr="00CD2C5D" w:rsidRDefault="009F5B82" w:rsidP="009F5B82">
            <w:pPr>
              <w:autoSpaceDE w:val="0"/>
              <w:autoSpaceDN w:val="0"/>
              <w:adjustRightInd w:val="0"/>
              <w:jc w:val="both"/>
              <w:rPr>
                <w:sz w:val="20"/>
                <w:szCs w:val="20"/>
              </w:rPr>
            </w:pPr>
            <w:r w:rsidRPr="00CD2C5D">
              <w:rPr>
                <w:sz w:val="20"/>
                <w:szCs w:val="20"/>
              </w:rPr>
              <w:t>Соответствует</w:t>
            </w:r>
          </w:p>
        </w:tc>
      </w:tr>
      <w:tr w:rsidR="009F5B82" w:rsidRPr="00CD2C5D" w:rsidTr="00CD2C5D">
        <w:trPr>
          <w:cantSplit/>
          <w:trHeight w:val="257"/>
        </w:trPr>
        <w:tc>
          <w:tcPr>
            <w:tcW w:w="278" w:type="pct"/>
          </w:tcPr>
          <w:p w:rsidR="009F5B82" w:rsidRPr="00CD2C5D" w:rsidRDefault="009F5B82" w:rsidP="009F5B82">
            <w:pPr>
              <w:autoSpaceDE w:val="0"/>
              <w:autoSpaceDN w:val="0"/>
              <w:adjustRightInd w:val="0"/>
              <w:jc w:val="center"/>
              <w:rPr>
                <w:sz w:val="20"/>
                <w:szCs w:val="20"/>
              </w:rPr>
            </w:pPr>
            <w:r w:rsidRPr="00CD2C5D">
              <w:rPr>
                <w:sz w:val="20"/>
                <w:szCs w:val="20"/>
              </w:rPr>
              <w:lastRenderedPageBreak/>
              <w:t>10</w:t>
            </w:r>
          </w:p>
        </w:tc>
        <w:tc>
          <w:tcPr>
            <w:tcW w:w="972" w:type="pct"/>
          </w:tcPr>
          <w:p w:rsidR="009F5B82" w:rsidRPr="00CD2C5D" w:rsidRDefault="009F5B82" w:rsidP="009F5B82">
            <w:pPr>
              <w:spacing w:after="60"/>
              <w:jc w:val="both"/>
              <w:rPr>
                <w:sz w:val="20"/>
                <w:szCs w:val="20"/>
              </w:rPr>
            </w:pPr>
            <w:r w:rsidRPr="00CD2C5D">
              <w:rPr>
                <w:sz w:val="20"/>
                <w:szCs w:val="20"/>
              </w:rPr>
              <w:t>Протез бедра модульный (тип 3)</w:t>
            </w:r>
          </w:p>
        </w:tc>
        <w:tc>
          <w:tcPr>
            <w:tcW w:w="2915" w:type="pct"/>
          </w:tcPr>
          <w:p w:rsidR="009F5B82" w:rsidRPr="00CD2C5D" w:rsidRDefault="009F5B82" w:rsidP="009F5B82">
            <w:pPr>
              <w:tabs>
                <w:tab w:val="left" w:pos="708"/>
              </w:tabs>
              <w:jc w:val="both"/>
              <w:rPr>
                <w:sz w:val="20"/>
                <w:szCs w:val="20"/>
              </w:rPr>
            </w:pPr>
            <w:r w:rsidRPr="00CD2C5D">
              <w:rPr>
                <w:sz w:val="20"/>
                <w:szCs w:val="20"/>
              </w:rPr>
              <w:t xml:space="preserve">Протез бедра модульный.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CD2C5D">
              <w:rPr>
                <w:sz w:val="20"/>
                <w:szCs w:val="20"/>
              </w:rPr>
              <w:t>перлоновые</w:t>
            </w:r>
            <w:proofErr w:type="spellEnd"/>
            <w:r w:rsidRPr="00CD2C5D">
              <w:rPr>
                <w:sz w:val="20"/>
                <w:szCs w:val="20"/>
              </w:rPr>
              <w:t xml:space="preserve">. Приёмная гильза индивидуальная (две пробные гильзы).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полимерные, крепление с использованием замка, вакуумной мембраны с выпускным клапаном.  Регулировочно-соединительные устройства соответствуют весу инвалида. Коленный шарнир пневматический многоосный, с высокой </w:t>
            </w:r>
            <w:proofErr w:type="spellStart"/>
            <w:r w:rsidRPr="00CD2C5D">
              <w:rPr>
                <w:sz w:val="20"/>
                <w:szCs w:val="20"/>
              </w:rPr>
              <w:t>подкосоустойчивостью</w:t>
            </w:r>
            <w:proofErr w:type="spellEnd"/>
            <w:r w:rsidRPr="00CD2C5D">
              <w:rPr>
                <w:sz w:val="20"/>
                <w:szCs w:val="20"/>
              </w:rPr>
              <w:t xml:space="preserve"> и независимым бесступенчатым механизмом регулирования фазы сгибания и разгибания, коленный шарнир пневматический одноосный с возможностью регулирования скорости ходьбы, с активным механизмом обеспечения </w:t>
            </w:r>
            <w:proofErr w:type="spellStart"/>
            <w:r w:rsidRPr="00CD2C5D">
              <w:rPr>
                <w:sz w:val="20"/>
                <w:szCs w:val="20"/>
              </w:rPr>
              <w:t>подкосоустойчивости</w:t>
            </w:r>
            <w:proofErr w:type="spellEnd"/>
            <w:r w:rsidRPr="00CD2C5D">
              <w:rPr>
                <w:sz w:val="20"/>
                <w:szCs w:val="20"/>
              </w:rPr>
              <w:t xml:space="preserve">, </w:t>
            </w:r>
            <w:proofErr w:type="spellStart"/>
            <w:r w:rsidRPr="00CD2C5D">
              <w:rPr>
                <w:sz w:val="20"/>
                <w:szCs w:val="20"/>
              </w:rPr>
              <w:t>отключающимся</w:t>
            </w:r>
            <w:proofErr w:type="spellEnd"/>
            <w:r w:rsidRPr="00CD2C5D">
              <w:rPr>
                <w:sz w:val="20"/>
                <w:szCs w:val="20"/>
              </w:rPr>
              <w:t xml:space="preserve"> при переходе на передний отдел стопы.  Стопа для пациентов со средним уровнем активности. Тип протеза: постоянный.</w:t>
            </w:r>
          </w:p>
        </w:tc>
        <w:tc>
          <w:tcPr>
            <w:tcW w:w="835" w:type="pct"/>
          </w:tcPr>
          <w:p w:rsidR="009F5B82" w:rsidRPr="00CD2C5D" w:rsidRDefault="009F5B82" w:rsidP="009F5B82">
            <w:pPr>
              <w:autoSpaceDE w:val="0"/>
              <w:autoSpaceDN w:val="0"/>
              <w:adjustRightInd w:val="0"/>
              <w:jc w:val="both"/>
              <w:rPr>
                <w:sz w:val="20"/>
                <w:szCs w:val="20"/>
              </w:rPr>
            </w:pPr>
            <w:r w:rsidRPr="00CD2C5D">
              <w:rPr>
                <w:sz w:val="20"/>
                <w:szCs w:val="20"/>
              </w:rPr>
              <w:t>Соответствует</w:t>
            </w:r>
          </w:p>
        </w:tc>
      </w:tr>
      <w:tr w:rsidR="009F5B82" w:rsidRPr="00CD2C5D" w:rsidTr="00CD2C5D">
        <w:trPr>
          <w:cantSplit/>
          <w:trHeight w:val="257"/>
        </w:trPr>
        <w:tc>
          <w:tcPr>
            <w:tcW w:w="278" w:type="pct"/>
          </w:tcPr>
          <w:p w:rsidR="009F5B82" w:rsidRPr="00CD2C5D" w:rsidRDefault="009F5B82" w:rsidP="009F5B82">
            <w:pPr>
              <w:autoSpaceDE w:val="0"/>
              <w:autoSpaceDN w:val="0"/>
              <w:adjustRightInd w:val="0"/>
              <w:jc w:val="center"/>
              <w:rPr>
                <w:sz w:val="20"/>
                <w:szCs w:val="20"/>
              </w:rPr>
            </w:pPr>
            <w:r w:rsidRPr="00CD2C5D">
              <w:rPr>
                <w:sz w:val="20"/>
                <w:szCs w:val="20"/>
              </w:rPr>
              <w:t>11</w:t>
            </w:r>
          </w:p>
        </w:tc>
        <w:tc>
          <w:tcPr>
            <w:tcW w:w="972" w:type="pct"/>
          </w:tcPr>
          <w:p w:rsidR="009F5B82" w:rsidRPr="00CD2C5D" w:rsidRDefault="009F5B82" w:rsidP="009F5B82">
            <w:pPr>
              <w:rPr>
                <w:sz w:val="20"/>
                <w:szCs w:val="20"/>
              </w:rPr>
            </w:pPr>
            <w:r w:rsidRPr="00CD2C5D">
              <w:rPr>
                <w:sz w:val="20"/>
                <w:szCs w:val="20"/>
              </w:rPr>
              <w:t>Протез стопы</w:t>
            </w:r>
          </w:p>
        </w:tc>
        <w:tc>
          <w:tcPr>
            <w:tcW w:w="2915" w:type="pct"/>
          </w:tcPr>
          <w:p w:rsidR="009F5B82" w:rsidRPr="00CD2C5D" w:rsidRDefault="009F5B82" w:rsidP="009F5B82">
            <w:pPr>
              <w:rPr>
                <w:sz w:val="20"/>
                <w:szCs w:val="20"/>
              </w:rPr>
            </w:pPr>
            <w:r w:rsidRPr="00CD2C5D">
              <w:rPr>
                <w:sz w:val="20"/>
                <w:szCs w:val="20"/>
              </w:rPr>
              <w:t xml:space="preserve">Протез стопы индивидуального изготовления. Приёмная гильза изготовлена по индивидуальному слепку с культи инвалида. Материал индивидуальной постоянной гильзы: литьевой слоистый пластик на основе акриловых смол, листовой термопластичный пластик. Мягкая вкладная гильза из вспененных материалов. Крепление протеза за счёт формы приёмной гильзы. </w:t>
            </w:r>
          </w:p>
        </w:tc>
        <w:tc>
          <w:tcPr>
            <w:tcW w:w="835" w:type="pct"/>
          </w:tcPr>
          <w:p w:rsidR="009F5B82" w:rsidRPr="00CD2C5D" w:rsidRDefault="009F5B82" w:rsidP="009F5B82">
            <w:pPr>
              <w:autoSpaceDE w:val="0"/>
              <w:autoSpaceDN w:val="0"/>
              <w:adjustRightInd w:val="0"/>
              <w:jc w:val="both"/>
              <w:rPr>
                <w:sz w:val="20"/>
                <w:szCs w:val="20"/>
              </w:rPr>
            </w:pPr>
            <w:r w:rsidRPr="00CD2C5D">
              <w:rPr>
                <w:sz w:val="20"/>
                <w:szCs w:val="20"/>
              </w:rPr>
              <w:t>Соответствует</w:t>
            </w:r>
          </w:p>
        </w:tc>
      </w:tr>
    </w:tbl>
    <w:p w:rsidR="005F2386" w:rsidRPr="00CD2C5D" w:rsidRDefault="005F2386" w:rsidP="005F2386">
      <w:pPr>
        <w:widowControl w:val="0"/>
        <w:autoSpaceDE w:val="0"/>
        <w:ind w:firstLine="709"/>
        <w:jc w:val="both"/>
        <w:rPr>
          <w:sz w:val="20"/>
          <w:szCs w:val="20"/>
        </w:rPr>
      </w:pPr>
    </w:p>
    <w:p w:rsidR="00CD2C5D" w:rsidRPr="00CD2C5D" w:rsidRDefault="00CD2C5D" w:rsidP="00CD2C5D">
      <w:pPr>
        <w:autoSpaceDE w:val="0"/>
        <w:autoSpaceDN w:val="0"/>
        <w:adjustRightInd w:val="0"/>
        <w:ind w:firstLine="540"/>
        <w:jc w:val="both"/>
        <w:rPr>
          <w:sz w:val="20"/>
          <w:szCs w:val="20"/>
        </w:rPr>
      </w:pPr>
      <w:r w:rsidRPr="00CD2C5D">
        <w:rPr>
          <w:sz w:val="20"/>
          <w:szCs w:val="20"/>
        </w:rPr>
        <w:t>Подрядчик гарантирует, что результаты работы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CD2C5D" w:rsidRPr="00CD2C5D" w:rsidRDefault="00CD2C5D" w:rsidP="00CD2C5D">
      <w:pPr>
        <w:autoSpaceDE w:val="0"/>
        <w:autoSpaceDN w:val="0"/>
        <w:adjustRightInd w:val="0"/>
        <w:ind w:firstLine="708"/>
        <w:jc w:val="both"/>
        <w:rPr>
          <w:sz w:val="20"/>
          <w:szCs w:val="20"/>
        </w:rPr>
      </w:pPr>
      <w:r w:rsidRPr="00CD2C5D">
        <w:rPr>
          <w:sz w:val="20"/>
          <w:szCs w:val="20"/>
        </w:rPr>
        <w:t>Гарантийный срок на выполненные работы устанавливается с дня подписания Акта-сдачи приемки работ и составляет не менее 12 (Двенадцать) месяцев. В течение этого срока Подрядчик производит замену или ремонт изделия за счет собственных средств.</w:t>
      </w:r>
    </w:p>
    <w:p w:rsidR="00CD2C5D" w:rsidRPr="00CD2C5D" w:rsidRDefault="00CD2C5D" w:rsidP="00CD2C5D">
      <w:pPr>
        <w:autoSpaceDE w:val="0"/>
        <w:autoSpaceDN w:val="0"/>
        <w:adjustRightInd w:val="0"/>
        <w:jc w:val="both"/>
        <w:rPr>
          <w:sz w:val="20"/>
          <w:szCs w:val="20"/>
        </w:rPr>
      </w:pPr>
      <w:r w:rsidRPr="00CD2C5D">
        <w:rPr>
          <w:sz w:val="20"/>
          <w:szCs w:val="20"/>
        </w:rPr>
        <w:tab/>
        <w:t>В случае если производителем гарантийный срок на комплектующие изделия (полуфабрикаты) указан более 12 (Двенадцать) месяцев, Подрядчик производит замену полуфабрикатов в течение срока, указанного производителем.</w:t>
      </w:r>
    </w:p>
    <w:p w:rsidR="00CD2C5D" w:rsidRPr="00CD2C5D" w:rsidRDefault="00CD2C5D" w:rsidP="00CD2C5D">
      <w:pPr>
        <w:autoSpaceDE w:val="0"/>
        <w:autoSpaceDN w:val="0"/>
        <w:adjustRightInd w:val="0"/>
        <w:jc w:val="both"/>
        <w:rPr>
          <w:sz w:val="20"/>
          <w:szCs w:val="20"/>
        </w:rPr>
      </w:pPr>
      <w:r w:rsidRPr="00CD2C5D">
        <w:rPr>
          <w:sz w:val="20"/>
          <w:szCs w:val="20"/>
        </w:rPr>
        <w:tab/>
        <w:t>Комплектующие изделия (полуфабрикаты) и материалы должны быть новыми.</w:t>
      </w:r>
    </w:p>
    <w:p w:rsidR="00CD2C5D" w:rsidRPr="00CD2C5D" w:rsidRDefault="00CD2C5D" w:rsidP="00CD2C5D">
      <w:pPr>
        <w:autoSpaceDE w:val="0"/>
        <w:autoSpaceDN w:val="0"/>
        <w:adjustRightInd w:val="0"/>
        <w:jc w:val="both"/>
        <w:rPr>
          <w:sz w:val="20"/>
          <w:szCs w:val="20"/>
        </w:rPr>
      </w:pPr>
      <w:r w:rsidRPr="00CD2C5D">
        <w:rPr>
          <w:sz w:val="20"/>
          <w:szCs w:val="20"/>
        </w:rPr>
        <w:tab/>
        <w:t>Гарантия качества результата работ распространяется на все составляющие результата работ.</w:t>
      </w:r>
    </w:p>
    <w:p w:rsidR="00CD2C5D" w:rsidRPr="00CD2C5D" w:rsidRDefault="00CD2C5D" w:rsidP="00CD2C5D">
      <w:pPr>
        <w:autoSpaceDE w:val="0"/>
        <w:autoSpaceDN w:val="0"/>
        <w:adjustRightInd w:val="0"/>
        <w:jc w:val="both"/>
        <w:rPr>
          <w:sz w:val="20"/>
          <w:szCs w:val="20"/>
        </w:rPr>
      </w:pPr>
      <w:r w:rsidRPr="00CD2C5D">
        <w:rPr>
          <w:sz w:val="20"/>
          <w:szCs w:val="20"/>
        </w:rPr>
        <w:tab/>
        <w:t>Срок выполнения работ: с момента заключения контракта, но не ранее 09.01.2022г. до 01 октября 2023 года включительно.</w:t>
      </w:r>
    </w:p>
    <w:p w:rsidR="00CD2C5D" w:rsidRPr="00CD2C5D" w:rsidRDefault="00CD2C5D" w:rsidP="00CD2C5D">
      <w:pPr>
        <w:autoSpaceDE w:val="0"/>
        <w:autoSpaceDN w:val="0"/>
        <w:adjustRightInd w:val="0"/>
        <w:ind w:firstLine="708"/>
        <w:jc w:val="both"/>
        <w:rPr>
          <w:sz w:val="20"/>
          <w:szCs w:val="20"/>
        </w:rPr>
      </w:pPr>
      <w:r w:rsidRPr="00CD2C5D">
        <w:rPr>
          <w:sz w:val="20"/>
          <w:szCs w:val="20"/>
        </w:rPr>
        <w:t>Действие контракта: Контракт вступает в силу с момента заключения и действует по 30 декабря 2023 года.</w:t>
      </w:r>
    </w:p>
    <w:p w:rsidR="00CD2C5D" w:rsidRPr="00CD2C5D" w:rsidRDefault="00CD2C5D" w:rsidP="00CD2C5D">
      <w:pPr>
        <w:autoSpaceDE w:val="0"/>
        <w:autoSpaceDN w:val="0"/>
        <w:adjustRightInd w:val="0"/>
        <w:ind w:firstLine="708"/>
        <w:jc w:val="both"/>
        <w:rPr>
          <w:sz w:val="20"/>
          <w:szCs w:val="20"/>
        </w:rPr>
      </w:pPr>
      <w:r w:rsidRPr="00CD2C5D">
        <w:rPr>
          <w:sz w:val="20"/>
          <w:szCs w:val="20"/>
        </w:rPr>
        <w:t xml:space="preserve">Соответствие ГОСТа: ГОСТ ISO 10993-1-2021 «Межгосударственный стандарт. Изделия медицинские. Оценка биологического действия медицинских изделий.»,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CD2C5D">
        <w:rPr>
          <w:sz w:val="20"/>
          <w:szCs w:val="20"/>
        </w:rPr>
        <w:t>цитотоксичность</w:t>
      </w:r>
      <w:proofErr w:type="spellEnd"/>
      <w:r w:rsidRPr="00CD2C5D">
        <w:rPr>
          <w:sz w:val="20"/>
          <w:szCs w:val="20"/>
        </w:rPr>
        <w:t xml:space="preserve">: методы </w:t>
      </w:r>
      <w:proofErr w:type="spellStart"/>
      <w:r w:rsidRPr="00CD2C5D">
        <w:rPr>
          <w:sz w:val="20"/>
          <w:szCs w:val="20"/>
        </w:rPr>
        <w:t>in</w:t>
      </w:r>
      <w:proofErr w:type="spellEnd"/>
      <w:r w:rsidRPr="00CD2C5D">
        <w:rPr>
          <w:sz w:val="20"/>
          <w:szCs w:val="20"/>
        </w:rPr>
        <w:t xml:space="preserve"> </w:t>
      </w:r>
      <w:proofErr w:type="spellStart"/>
      <w:r w:rsidRPr="00CD2C5D">
        <w:rPr>
          <w:sz w:val="20"/>
          <w:szCs w:val="20"/>
        </w:rPr>
        <w:t>vitro</w:t>
      </w:r>
      <w:proofErr w:type="spellEnd"/>
      <w:r w:rsidRPr="00CD2C5D">
        <w:rPr>
          <w:sz w:val="20"/>
          <w:szCs w:val="20"/>
        </w:rPr>
        <w:t xml:space="preserve">»,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ГОСТ Р 52770-2016 «Изделия медицинские» п.4. Общие положения, ГОСТ ИСО 22523-2007 «Протезы конечностей и </w:t>
      </w:r>
      <w:proofErr w:type="spellStart"/>
      <w:r w:rsidRPr="00CD2C5D">
        <w:rPr>
          <w:sz w:val="20"/>
          <w:szCs w:val="20"/>
        </w:rPr>
        <w:t>ортезы</w:t>
      </w:r>
      <w:proofErr w:type="spellEnd"/>
      <w:r w:rsidRPr="00CD2C5D">
        <w:rPr>
          <w:sz w:val="20"/>
          <w:szCs w:val="20"/>
        </w:rPr>
        <w:t xml:space="preserve"> наружные требования и методы испытаний»</w:t>
      </w:r>
    </w:p>
    <w:p w:rsidR="00CD2C5D" w:rsidRDefault="00CD2C5D" w:rsidP="00CD2C5D">
      <w:pPr>
        <w:autoSpaceDE w:val="0"/>
        <w:autoSpaceDN w:val="0"/>
        <w:adjustRightInd w:val="0"/>
        <w:jc w:val="both"/>
      </w:pPr>
      <w:r>
        <w:tab/>
      </w:r>
    </w:p>
    <w:p w:rsidR="00126DEB" w:rsidRDefault="00126DEB" w:rsidP="00DB3240">
      <w:pPr>
        <w:widowControl w:val="0"/>
        <w:autoSpaceDE w:val="0"/>
        <w:ind w:firstLine="709"/>
        <w:jc w:val="both"/>
      </w:pPr>
    </w:p>
    <w:sectPr w:rsidR="00126DEB" w:rsidSect="00D7115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D96" w:rsidRDefault="00AE3D96" w:rsidP="00D7115C">
      <w:r>
        <w:separator/>
      </w:r>
    </w:p>
  </w:endnote>
  <w:endnote w:type="continuationSeparator" w:id="0">
    <w:p w:rsidR="00AE3D96" w:rsidRDefault="00AE3D96"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CC"/>
    <w:family w:val="auto"/>
    <w:pitch w:val="default"/>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D96" w:rsidRDefault="00AE3D96" w:rsidP="00D7115C">
      <w:r>
        <w:separator/>
      </w:r>
    </w:p>
  </w:footnote>
  <w:footnote w:type="continuationSeparator" w:id="0">
    <w:p w:rsidR="00AE3D96" w:rsidRDefault="00AE3D96" w:rsidP="00D7115C">
      <w:r>
        <w:continuationSeparator/>
      </w:r>
    </w:p>
  </w:footnote>
  <w:footnote w:id="1">
    <w:p w:rsidR="008D1CE7" w:rsidRDefault="008D1CE7" w:rsidP="005D4418">
      <w:pPr>
        <w:pStyle w:val="a3"/>
      </w:pPr>
      <w:r>
        <w:rPr>
          <w:vertAlign w:val="superscript"/>
        </w:rPr>
        <w:t xml:space="preserve">1 </w:t>
      </w:r>
      <w:r w:rsidRPr="00E91547">
        <w:t>Пустые ячейки заполнению не подлежат. В случае заполнения участником пустых ячеек, такие значения показателя при рассмотрении предложения участника не будут учитываться.</w:t>
      </w:r>
    </w:p>
  </w:footnote>
  <w:footnote w:id="2">
    <w:p w:rsidR="008D1CE7" w:rsidRDefault="008D1CE7" w:rsidP="005D4418">
      <w:pPr>
        <w:pStyle w:val="a3"/>
      </w:pPr>
      <w:r w:rsidRPr="00985908">
        <w:rPr>
          <w:vertAlign w:val="superscript"/>
        </w:rPr>
        <w:t>2</w:t>
      </w:r>
      <w:r>
        <w:t xml:space="preserve"> </w:t>
      </w:r>
      <w:r w:rsidRPr="00985908">
        <w:t>Вносить</w:t>
      </w:r>
      <w:r w:rsidRPr="006A5649">
        <w:t xml:space="preserve"> изменения в наименования показателей не допускается.</w:t>
      </w:r>
    </w:p>
  </w:footnote>
  <w:footnote w:id="3">
    <w:p w:rsidR="008D1CE7" w:rsidRPr="00985908" w:rsidRDefault="008D1CE7" w:rsidP="005D4418">
      <w:pPr>
        <w:pStyle w:val="a3"/>
      </w:pPr>
      <w:r w:rsidRPr="004B0A89">
        <w:rPr>
          <w:vertAlign w:val="superscript"/>
        </w:rPr>
        <w:t>3</w:t>
      </w:r>
      <w:r>
        <w:rPr>
          <w:vertAlign w:val="superscript"/>
        </w:rPr>
        <w:t xml:space="preserve"> </w:t>
      </w:r>
      <w:r w:rsidRPr="00985908">
        <w:t>Вносить</w:t>
      </w:r>
      <w:r w:rsidRPr="006A5649">
        <w:t xml:space="preserve"> изменения в неизменяемое значение показателя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844E3"/>
    <w:multiLevelType w:val="hybridMultilevel"/>
    <w:tmpl w:val="17022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6">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18"/>
  </w:num>
  <w:num w:numId="4">
    <w:abstractNumId w:val="12"/>
  </w:num>
  <w:num w:numId="5">
    <w:abstractNumId w:val="27"/>
  </w:num>
  <w:num w:numId="6">
    <w:abstractNumId w:val="26"/>
  </w:num>
  <w:num w:numId="7">
    <w:abstractNumId w:val="21"/>
  </w:num>
  <w:num w:numId="8">
    <w:abstractNumId w:val="13"/>
  </w:num>
  <w:num w:numId="9">
    <w:abstractNumId w:val="10"/>
  </w:num>
  <w:num w:numId="10">
    <w:abstractNumId w:val="7"/>
  </w:num>
  <w:num w:numId="11">
    <w:abstractNumId w:val="24"/>
  </w:num>
  <w:num w:numId="12">
    <w:abstractNumId w:val="8"/>
  </w:num>
  <w:num w:numId="13">
    <w:abstractNumId w:val="28"/>
  </w:num>
  <w:num w:numId="14">
    <w:abstractNumId w:val="29"/>
  </w:num>
  <w:num w:numId="15">
    <w:abstractNumId w:val="19"/>
  </w:num>
  <w:num w:numId="16">
    <w:abstractNumId w:val="14"/>
  </w:num>
  <w:num w:numId="17">
    <w:abstractNumId w:val="9"/>
  </w:num>
  <w:num w:numId="18">
    <w:abstractNumId w:val="4"/>
  </w:num>
  <w:num w:numId="19">
    <w:abstractNumId w:val="15"/>
  </w:num>
  <w:num w:numId="20">
    <w:abstractNumId w:val="5"/>
  </w:num>
  <w:num w:numId="21">
    <w:abstractNumId w:val="0"/>
  </w:num>
  <w:num w:numId="22">
    <w:abstractNumId w:val="25"/>
  </w:num>
  <w:num w:numId="23">
    <w:abstractNumId w:val="17"/>
  </w:num>
  <w:num w:numId="24">
    <w:abstractNumId w:val="22"/>
  </w:num>
  <w:num w:numId="25">
    <w:abstractNumId w:val="23"/>
  </w:num>
  <w:num w:numId="26">
    <w:abstractNumId w:val="11"/>
  </w:num>
  <w:num w:numId="27">
    <w:abstractNumId w:val="16"/>
  </w:num>
  <w:num w:numId="28">
    <w:abstractNumId w:val="20"/>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739C0"/>
    <w:rsid w:val="000A357E"/>
    <w:rsid w:val="000A37D4"/>
    <w:rsid w:val="000D3DE0"/>
    <w:rsid w:val="00126DEB"/>
    <w:rsid w:val="001370D2"/>
    <w:rsid w:val="00195EEB"/>
    <w:rsid w:val="001A1B23"/>
    <w:rsid w:val="001C1494"/>
    <w:rsid w:val="00251D72"/>
    <w:rsid w:val="00310864"/>
    <w:rsid w:val="003210F2"/>
    <w:rsid w:val="00333A18"/>
    <w:rsid w:val="003D486E"/>
    <w:rsid w:val="003E36EE"/>
    <w:rsid w:val="00427C62"/>
    <w:rsid w:val="00457089"/>
    <w:rsid w:val="0046039F"/>
    <w:rsid w:val="004667AA"/>
    <w:rsid w:val="004B058A"/>
    <w:rsid w:val="004C04C5"/>
    <w:rsid w:val="004C1D05"/>
    <w:rsid w:val="004D497F"/>
    <w:rsid w:val="004F2140"/>
    <w:rsid w:val="00585EDA"/>
    <w:rsid w:val="005935A0"/>
    <w:rsid w:val="005D4418"/>
    <w:rsid w:val="005F2386"/>
    <w:rsid w:val="006F603A"/>
    <w:rsid w:val="007214BD"/>
    <w:rsid w:val="007670F9"/>
    <w:rsid w:val="007A0C01"/>
    <w:rsid w:val="007A6F31"/>
    <w:rsid w:val="007C105E"/>
    <w:rsid w:val="007F2A0B"/>
    <w:rsid w:val="00812F5F"/>
    <w:rsid w:val="00842A50"/>
    <w:rsid w:val="00852E8C"/>
    <w:rsid w:val="00896D3D"/>
    <w:rsid w:val="008A00DE"/>
    <w:rsid w:val="008A35F0"/>
    <w:rsid w:val="008D1CE7"/>
    <w:rsid w:val="009226AD"/>
    <w:rsid w:val="009277FE"/>
    <w:rsid w:val="009A4C9B"/>
    <w:rsid w:val="009C26AF"/>
    <w:rsid w:val="009F5B82"/>
    <w:rsid w:val="00A520C7"/>
    <w:rsid w:val="00A54B05"/>
    <w:rsid w:val="00A978CB"/>
    <w:rsid w:val="00AC04AF"/>
    <w:rsid w:val="00AD58F0"/>
    <w:rsid w:val="00AE3D96"/>
    <w:rsid w:val="00B201AE"/>
    <w:rsid w:val="00B45B9E"/>
    <w:rsid w:val="00B63052"/>
    <w:rsid w:val="00BB7977"/>
    <w:rsid w:val="00BE167F"/>
    <w:rsid w:val="00C1613C"/>
    <w:rsid w:val="00C60B84"/>
    <w:rsid w:val="00CA3011"/>
    <w:rsid w:val="00CA4582"/>
    <w:rsid w:val="00CB0C96"/>
    <w:rsid w:val="00CB473D"/>
    <w:rsid w:val="00CC1AB3"/>
    <w:rsid w:val="00CD2C5D"/>
    <w:rsid w:val="00CE28E3"/>
    <w:rsid w:val="00CF1971"/>
    <w:rsid w:val="00D01082"/>
    <w:rsid w:val="00D20ED9"/>
    <w:rsid w:val="00D7115C"/>
    <w:rsid w:val="00D8164D"/>
    <w:rsid w:val="00D865A8"/>
    <w:rsid w:val="00DB3240"/>
    <w:rsid w:val="00DC4D5C"/>
    <w:rsid w:val="00E35808"/>
    <w:rsid w:val="00E46D81"/>
    <w:rsid w:val="00ED4626"/>
    <w:rsid w:val="00F34F37"/>
    <w:rsid w:val="00F374BC"/>
    <w:rsid w:val="00FA700E"/>
    <w:rsid w:val="00FD6887"/>
    <w:rsid w:val="00FF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nhideWhenUsed/>
    <w:rsid w:val="00427C62"/>
    <w:rPr>
      <w:rFonts w:ascii="Tahoma" w:eastAsiaTheme="minorEastAsia" w:hAnsi="Tahoma" w:cs="Tahoma"/>
      <w:sz w:val="16"/>
      <w:szCs w:val="16"/>
    </w:rPr>
  </w:style>
  <w:style w:type="character" w:customStyle="1" w:styleId="a7">
    <w:name w:val="Текст выноски Знак"/>
    <w:basedOn w:val="a0"/>
    <w:link w:val="a6"/>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3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0">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1">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2">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3">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4">
    <w:name w:val="Body Text 2"/>
    <w:basedOn w:val="a"/>
    <w:link w:val="25"/>
    <w:uiPriority w:val="99"/>
    <w:unhideWhenUsed/>
    <w:rsid w:val="00427C62"/>
    <w:pPr>
      <w:spacing w:after="120" w:line="480" w:lineRule="auto"/>
    </w:pPr>
  </w:style>
  <w:style w:type="character" w:customStyle="1" w:styleId="25">
    <w:name w:val="Основной текст 2 Знак"/>
    <w:basedOn w:val="a0"/>
    <w:link w:val="24"/>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6">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1727</Words>
  <Characters>9846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52</cp:revision>
  <dcterms:created xsi:type="dcterms:W3CDTF">2020-08-12T05:43:00Z</dcterms:created>
  <dcterms:modified xsi:type="dcterms:W3CDTF">2022-11-23T14:18:00Z</dcterms:modified>
</cp:coreProperties>
</file>