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19" w:rsidRPr="00510D97" w:rsidRDefault="00034E19" w:rsidP="00034E1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0D97">
        <w:rPr>
          <w:rFonts w:ascii="Times New Roman" w:eastAsia="Calibri" w:hAnsi="Times New Roman" w:cs="Times New Roman"/>
          <w:sz w:val="20"/>
          <w:szCs w:val="20"/>
        </w:rPr>
        <w:t xml:space="preserve">Приложение № 1                                                                                                                                                                     </w:t>
      </w:r>
    </w:p>
    <w:p w:rsidR="00034E19" w:rsidRPr="00510D97" w:rsidRDefault="00034E19" w:rsidP="00034E1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0D97">
        <w:rPr>
          <w:rFonts w:ascii="Times New Roman" w:eastAsia="Calibri" w:hAnsi="Times New Roman" w:cs="Times New Roman"/>
          <w:sz w:val="20"/>
          <w:szCs w:val="20"/>
        </w:rPr>
        <w:t xml:space="preserve"> к Извещению </w:t>
      </w:r>
    </w:p>
    <w:p w:rsidR="00034E19" w:rsidRDefault="00034E19" w:rsidP="00034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13" w:rsidRPr="007440F7" w:rsidRDefault="00564513" w:rsidP="0056451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0F7">
        <w:rPr>
          <w:rFonts w:ascii="Times New Roman" w:eastAsia="Calibri" w:hAnsi="Times New Roman" w:cs="Times New Roman"/>
          <w:b/>
          <w:sz w:val="24"/>
          <w:szCs w:val="24"/>
        </w:rPr>
        <w:t>Описание объекта закупки</w:t>
      </w:r>
    </w:p>
    <w:p w:rsidR="00564513" w:rsidRPr="007440F7" w:rsidRDefault="00564513" w:rsidP="0056451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0F7">
        <w:rPr>
          <w:rFonts w:ascii="Times New Roman" w:eastAsia="Calibri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564513" w:rsidRPr="00564513" w:rsidRDefault="00564513" w:rsidP="00564513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513">
        <w:rPr>
          <w:rFonts w:ascii="Times New Roman" w:eastAsia="Calibri" w:hAnsi="Times New Roman" w:cs="Times New Roman"/>
          <w:sz w:val="20"/>
          <w:szCs w:val="20"/>
        </w:rPr>
        <w:t xml:space="preserve">Поставка инвалидам </w:t>
      </w:r>
      <w:proofErr w:type="spellStart"/>
      <w:r w:rsidRPr="00564513">
        <w:rPr>
          <w:rFonts w:ascii="Times New Roman" w:eastAsia="Calibri" w:hAnsi="Times New Roman" w:cs="Times New Roman"/>
          <w:sz w:val="20"/>
          <w:szCs w:val="20"/>
        </w:rPr>
        <w:t>противопролежневых</w:t>
      </w:r>
      <w:proofErr w:type="spellEnd"/>
      <w:r w:rsidRPr="00564513">
        <w:rPr>
          <w:rFonts w:ascii="Times New Roman" w:eastAsia="Calibri" w:hAnsi="Times New Roman" w:cs="Times New Roman"/>
          <w:sz w:val="20"/>
          <w:szCs w:val="20"/>
        </w:rPr>
        <w:t xml:space="preserve"> матрацев.</w:t>
      </w:r>
    </w:p>
    <w:p w:rsidR="00564513" w:rsidRPr="00564513" w:rsidRDefault="00564513" w:rsidP="00564513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513">
        <w:rPr>
          <w:rFonts w:ascii="Times New Roman" w:eastAsia="Lucida Sans Unicode" w:hAnsi="Times New Roman" w:cs="Times New Roman"/>
          <w:sz w:val="20"/>
          <w:szCs w:val="20"/>
          <w:lang w:bidi="en-US"/>
        </w:rPr>
        <w:t>Срок поставки</w:t>
      </w:r>
      <w:r w:rsidRPr="00564513">
        <w:rPr>
          <w:rFonts w:ascii="Times New Roman" w:eastAsia="Calibri" w:hAnsi="Times New Roman" w:cs="Times New Roman"/>
          <w:sz w:val="20"/>
          <w:szCs w:val="20"/>
        </w:rPr>
        <w:t>: до 31.08.2023 года.</w:t>
      </w:r>
    </w:p>
    <w:p w:rsidR="00564513" w:rsidRPr="00564513" w:rsidRDefault="00564513" w:rsidP="00564513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513">
        <w:rPr>
          <w:rFonts w:ascii="Times New Roman" w:eastAsia="Calibri" w:hAnsi="Times New Roman" w:cs="Times New Roman"/>
          <w:sz w:val="20"/>
          <w:szCs w:val="20"/>
        </w:rPr>
        <w:t xml:space="preserve">Место поставки: </w:t>
      </w:r>
      <w:r w:rsidRPr="00564513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564513" w:rsidRPr="00564513" w:rsidRDefault="00564513" w:rsidP="0056451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4513">
        <w:rPr>
          <w:rFonts w:ascii="Times New Roman" w:eastAsia="Calibri" w:hAnsi="Times New Roman" w:cs="Times New Roman"/>
          <w:sz w:val="20"/>
          <w:szCs w:val="20"/>
        </w:rPr>
        <w:t>Начальная (максимальная) цена контракта:1 484 609 рублей 76 копеек.</w:t>
      </w:r>
    </w:p>
    <w:p w:rsidR="00564513" w:rsidRDefault="00564513" w:rsidP="0056451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4513">
        <w:rPr>
          <w:rFonts w:ascii="Times New Roman" w:eastAsia="Calibri" w:hAnsi="Times New Roman" w:cs="Times New Roman"/>
          <w:sz w:val="20"/>
          <w:szCs w:val="20"/>
          <w:lang w:eastAsia="ru-RU"/>
        </w:rPr>
        <w:t>ОКПД2: 22.19.71.190</w:t>
      </w:r>
    </w:p>
    <w:p w:rsidR="00564513" w:rsidRDefault="00564513" w:rsidP="00564513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КТРУ: </w:t>
      </w:r>
      <w:r w:rsidRPr="00564513">
        <w:rPr>
          <w:rFonts w:ascii="Times New Roman" w:eastAsia="Times New Roman" w:hAnsi="Times New Roman" w:cs="Times New Roman"/>
          <w:sz w:val="20"/>
          <w:szCs w:val="20"/>
          <w:lang w:eastAsia="ru-RU"/>
        </w:rPr>
        <w:t>22.19.71.190-00000005, 22.19.71.190-00000004.</w:t>
      </w:r>
    </w:p>
    <w:p w:rsidR="00564513" w:rsidRPr="00564513" w:rsidRDefault="00564513" w:rsidP="0056451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77D45" w:rsidRPr="00C77D45" w:rsidRDefault="00C77D45" w:rsidP="00C77D45">
      <w:pPr>
        <w:tabs>
          <w:tab w:val="left" w:pos="8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77D45">
        <w:rPr>
          <w:rFonts w:ascii="Times New Roman" w:eastAsia="Calibri" w:hAnsi="Times New Roman" w:cs="Times New Roman"/>
        </w:rPr>
        <w:t>Упаковка должна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C77D45" w:rsidRPr="00C77D45" w:rsidRDefault="00C77D45" w:rsidP="00C7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77D45">
        <w:rPr>
          <w:rFonts w:ascii="Times New Roman" w:eastAsia="Calibri" w:hAnsi="Times New Roman" w:cs="Times New Roman"/>
        </w:rPr>
        <w:t xml:space="preserve">Товар должен соответствовать требованиям стандарта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C77D45">
        <w:rPr>
          <w:rFonts w:ascii="Times New Roman" w:eastAsia="Calibri" w:hAnsi="Times New Roman" w:cs="Times New Roman"/>
        </w:rPr>
        <w:t>пирогенность</w:t>
      </w:r>
      <w:proofErr w:type="spellEnd"/>
      <w:r w:rsidRPr="00C77D45">
        <w:rPr>
          <w:rFonts w:ascii="Times New Roman" w:eastAsia="Calibri" w:hAnsi="Times New Roman" w:cs="Times New Roman"/>
        </w:rPr>
        <w:t>».</w:t>
      </w:r>
    </w:p>
    <w:p w:rsidR="00C77D45" w:rsidRPr="00C77D45" w:rsidRDefault="00C77D45" w:rsidP="00C7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C77D45">
        <w:rPr>
          <w:rFonts w:ascii="Times New Roman" w:eastAsia="Calibri" w:hAnsi="Times New Roman" w:cs="Times New Roman"/>
        </w:rPr>
        <w:t xml:space="preserve">При использовании Товара по назначению не должно быть угрозы для жизни и здоровья потребителя, окружающей среды, использование Товара по назначению не должны </w:t>
      </w:r>
      <w:proofErr w:type="gramStart"/>
      <w:r w:rsidRPr="00C77D45">
        <w:rPr>
          <w:rFonts w:ascii="Times New Roman" w:eastAsia="Calibri" w:hAnsi="Times New Roman" w:cs="Times New Roman"/>
        </w:rPr>
        <w:t>причинять  вред</w:t>
      </w:r>
      <w:proofErr w:type="gramEnd"/>
      <w:r w:rsidRPr="00C77D45">
        <w:rPr>
          <w:rFonts w:ascii="Times New Roman" w:eastAsia="Calibri" w:hAnsi="Times New Roman" w:cs="Times New Roman"/>
        </w:rPr>
        <w:t xml:space="preserve"> имуществу потребителя при его эксплуатации. Материалы, применяемые для изготовления Товара, не должны </w:t>
      </w:r>
      <w:proofErr w:type="gramStart"/>
      <w:r w:rsidRPr="00C77D45">
        <w:rPr>
          <w:rFonts w:ascii="Times New Roman" w:eastAsia="Calibri" w:hAnsi="Times New Roman" w:cs="Times New Roman"/>
        </w:rPr>
        <w:t>содержать  ядовитых</w:t>
      </w:r>
      <w:proofErr w:type="gramEnd"/>
      <w:r w:rsidRPr="00C77D45">
        <w:rPr>
          <w:rFonts w:ascii="Times New Roman" w:eastAsia="Calibri" w:hAnsi="Times New Roman" w:cs="Times New Roman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C77D45">
        <w:rPr>
          <w:rFonts w:ascii="Times New Roman" w:eastAsia="Calibri" w:hAnsi="Times New Roman" w:cs="Times New Roman"/>
          <w:lang w:eastAsia="ru-RU"/>
        </w:rPr>
        <w:t>ГОСТ Р 52770-2016.</w:t>
      </w:r>
    </w:p>
    <w:p w:rsidR="00C77D45" w:rsidRPr="00C77D45" w:rsidRDefault="00C77D45" w:rsidP="00C7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77D45">
        <w:rPr>
          <w:rFonts w:ascii="Times New Roman" w:eastAsia="Calibri" w:hAnsi="Times New Roman" w:cs="Times New Roman"/>
        </w:rPr>
        <w:t xml:space="preserve">Товар должен </w:t>
      </w:r>
      <w:proofErr w:type="gramStart"/>
      <w:r w:rsidRPr="00C77D45">
        <w:rPr>
          <w:rFonts w:ascii="Times New Roman" w:eastAsia="Calibri" w:hAnsi="Times New Roman" w:cs="Times New Roman"/>
        </w:rPr>
        <w:t>соответствовать  требованиям</w:t>
      </w:r>
      <w:proofErr w:type="gramEnd"/>
      <w:r w:rsidRPr="00C77D45">
        <w:rPr>
          <w:rFonts w:ascii="Times New Roman" w:eastAsia="Calibri" w:hAnsi="Times New Roman" w:cs="Times New Roman"/>
        </w:rPr>
        <w:t xml:space="preserve"> стандартов серии ГОСТ ISO 10993-1-2011 «Оценка биологического действия медицинских изделий».</w:t>
      </w:r>
    </w:p>
    <w:p w:rsidR="00C77D45" w:rsidRPr="00C77D45" w:rsidRDefault="00C77D45" w:rsidP="00C7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77D45">
        <w:rPr>
          <w:rFonts w:ascii="Times New Roman" w:eastAsia="Calibri" w:hAnsi="Times New Roman" w:cs="Times New Roman"/>
        </w:rPr>
        <w:t xml:space="preserve">Товар должен </w:t>
      </w:r>
      <w:proofErr w:type="gramStart"/>
      <w:r w:rsidRPr="00C77D45">
        <w:rPr>
          <w:rFonts w:ascii="Times New Roman" w:eastAsia="Calibri" w:hAnsi="Times New Roman" w:cs="Times New Roman"/>
        </w:rPr>
        <w:t>соответствовать  требованиям</w:t>
      </w:r>
      <w:proofErr w:type="gramEnd"/>
      <w:r w:rsidRPr="00C77D45">
        <w:rPr>
          <w:rFonts w:ascii="Times New Roman" w:eastAsia="Calibri" w:hAnsi="Times New Roman" w:cs="Times New Roman"/>
        </w:rPr>
        <w:t xml:space="preserve"> стандартов серии ГОСТ ISO 10993-5-2011 «Оценка биологического действия медицинских изделий».</w:t>
      </w:r>
    </w:p>
    <w:p w:rsidR="00C77D45" w:rsidRPr="00C77D45" w:rsidRDefault="00C77D45" w:rsidP="00C77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77D45">
        <w:rPr>
          <w:rFonts w:ascii="Times New Roman" w:eastAsia="Calibri" w:hAnsi="Times New Roman" w:cs="Times New Roman"/>
        </w:rPr>
        <w:t xml:space="preserve">Товар </w:t>
      </w:r>
      <w:proofErr w:type="gramStart"/>
      <w:r w:rsidRPr="00C77D45">
        <w:rPr>
          <w:rFonts w:ascii="Times New Roman" w:eastAsia="Calibri" w:hAnsi="Times New Roman" w:cs="Times New Roman"/>
        </w:rPr>
        <w:t>должен  соответствовать</w:t>
      </w:r>
      <w:proofErr w:type="gramEnd"/>
      <w:r w:rsidRPr="00C77D45">
        <w:rPr>
          <w:rFonts w:ascii="Times New Roman" w:eastAsia="Calibri" w:hAnsi="Times New Roman" w:cs="Times New Roman"/>
        </w:rPr>
        <w:t xml:space="preserve">  требованиям стандартов серии ГОСТ ISO 10993-10-2011 «Оценка биологического действия медицинских изделий».</w:t>
      </w:r>
    </w:p>
    <w:p w:rsidR="00C77D45" w:rsidRPr="00C77D45" w:rsidRDefault="00C77D45" w:rsidP="00C77D45">
      <w:pPr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77D45">
        <w:rPr>
          <w:rFonts w:ascii="Times New Roman" w:eastAsia="Calibri" w:hAnsi="Times New Roman" w:cs="Times New Roman"/>
        </w:rPr>
        <w:t xml:space="preserve">Товар должен </w:t>
      </w:r>
      <w:proofErr w:type="gramStart"/>
      <w:r w:rsidRPr="00C77D45">
        <w:rPr>
          <w:rFonts w:ascii="Times New Roman" w:eastAsia="Calibri" w:hAnsi="Times New Roman" w:cs="Times New Roman"/>
        </w:rPr>
        <w:t>соответствовать  требованиям</w:t>
      </w:r>
      <w:proofErr w:type="gramEnd"/>
      <w:r w:rsidRPr="00C77D45">
        <w:rPr>
          <w:rFonts w:ascii="Times New Roman" w:eastAsia="Calibri" w:hAnsi="Times New Roman" w:cs="Times New Roman"/>
        </w:rPr>
        <w:t xml:space="preserve"> стандартов серии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tbl>
      <w:tblPr>
        <w:tblpPr w:leftFromText="180" w:rightFromText="180" w:vertAnchor="text" w:horzAnchor="margin" w:tblpXSpec="center" w:tblpY="1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58"/>
        <w:gridCol w:w="1163"/>
        <w:gridCol w:w="708"/>
        <w:gridCol w:w="1247"/>
      </w:tblGrid>
      <w:tr w:rsidR="00564513" w:rsidRPr="00564513" w:rsidTr="00D72419">
        <w:trPr>
          <w:trHeight w:val="7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13" w:rsidRPr="00564513" w:rsidRDefault="00564513" w:rsidP="005645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bookmarkStart w:id="0" w:name="_GoBack"/>
            <w:bookmarkEnd w:id="0"/>
            <w:proofErr w:type="spellStart"/>
            <w:r w:rsidRPr="005645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5645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645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13" w:rsidRPr="00564513" w:rsidRDefault="00564513" w:rsidP="0056451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564513" w:rsidRPr="00564513" w:rsidRDefault="00564513" w:rsidP="0056451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13" w:rsidRPr="00564513" w:rsidRDefault="00564513" w:rsidP="00564513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Итого, руб.</w:t>
            </w:r>
          </w:p>
        </w:tc>
      </w:tr>
      <w:tr w:rsidR="00564513" w:rsidRPr="00564513" w:rsidTr="00D72419">
        <w:trPr>
          <w:trHeight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 полиуретановый</w:t>
            </w:r>
          </w:p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10-01-01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Матрац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полиуретановый обеспечивает инвалиду равномерное распределение давления на участки соприкасающегося тела. Использование данного матраца предупреждает возникновение эндогенных пролежней, исключает во</w:t>
            </w:r>
            <w:r w:rsidR="007B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зможность </w:t>
            </w: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грубого и длительного давления на одни и те же участки кожи, улучшает кровообращение на капиллярном уровне, обеспечивает питание и насыщение тканей кислородом, предотвращая образование пролежней или ускоряя процесс заживления пораженных участков.   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 должен иметь   съемный водонепроницаемый чехол из дышащей, эластичной, не скользящей ткани на молнии, который не впитывает запахи и выдерживает тепловую обработку, устойчивую к машинной и ручной стирке, а также обработке специальными дезинфицирующими средствами. 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Матрац может быть выполнен из формообразующих элементов, материал - вязко - эластичный полиуретан. Верхняя поверхность матраца оформлена из отдельных </w:t>
            </w: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квадратных ячеек, в которых происходит циркуляция воздуха. 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Матрац принимает форму тела под действием веса.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Габаритные размеры: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длина не менее 1900* и не более 2000 мм*;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</w:t>
            </w: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800 мм* и не более 900 мм*; 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толщина не менее 80 мм*.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Вес изделия - не более 10 кг*.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Допустимая нагрузка на изделие не менее 120 кг*.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 xml:space="preserve">не более </w:t>
            </w:r>
          </w:p>
          <w:p w:rsidR="00564513" w:rsidRPr="00564513" w:rsidRDefault="00564513" w:rsidP="0056451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5584,14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279207,00</w:t>
            </w:r>
          </w:p>
        </w:tc>
      </w:tr>
      <w:tr w:rsidR="00564513" w:rsidRPr="00564513" w:rsidTr="00D72419">
        <w:trPr>
          <w:trHeight w:val="6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гелевый</w:t>
            </w:r>
            <w:proofErr w:type="spellEnd"/>
          </w:p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10-01-02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гелевый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непульсирующий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должен состоять из формообразующих секций, комплектуется специальным чехлом, который упрощает санобработку. Ячеистая структура матраца должна быть наполнена гелем.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 - равномерное распределение давления на участки соприкасающегося тела достигается за счет упруго-перетекающих специальных заполненных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гелевым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составом элементов, находящихся внутри матраца.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Габаритные размеры: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длина не менее 1800 мм*,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ширина не менее 800 мм*,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толщина не менее 70 мм*.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допустимая нагрузка на изделие не менее 110 кг*.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 более </w:t>
            </w:r>
          </w:p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11547,27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993065,22</w:t>
            </w:r>
          </w:p>
        </w:tc>
      </w:tr>
      <w:tr w:rsidR="00564513" w:rsidRPr="00564513" w:rsidTr="00D72419">
        <w:trPr>
          <w:trHeight w:val="6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 воздушный </w:t>
            </w:r>
          </w:p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(с компрессором)</w:t>
            </w:r>
          </w:p>
          <w:p w:rsidR="00564513" w:rsidRPr="00564513" w:rsidRDefault="00564513" w:rsidP="005645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10-01-03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7B1BEF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Матрац </w:t>
            </w:r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должен обеспечивать инвалиду опору при низком контактном давлении с помощью отдельных групп надувных камер (ячеистых структур), плавно </w:t>
            </w:r>
            <w:proofErr w:type="spellStart"/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сдувающихся</w:t>
            </w:r>
            <w:proofErr w:type="spellEnd"/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Возможно наличие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матрацах </w:t>
            </w:r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</w:t>
            </w:r>
            <w:proofErr w:type="gramStart"/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отверстий</w:t>
            </w:r>
            <w:proofErr w:type="gramEnd"/>
            <w:r w:rsidR="00564513"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подсушивающих и охлаждающих покровы кожи инвалида.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Наполняемость внутреннего объема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противопролежневых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матрацев: воздух. Матрац должен комплектоваться малошумным непрерывно работающим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564513" w:rsidRPr="00564513" w:rsidRDefault="00564513" w:rsidP="005645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Габаритные размеры: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длина не менее 1900 мм*, 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не менее 900 мм*, 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толщина не менее 60 мм*.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Вес матраца не более 6 кг*.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допустимая нагрузка на изделие не менее 100 кг*.</w:t>
            </w:r>
          </w:p>
          <w:p w:rsidR="00564513" w:rsidRPr="00564513" w:rsidRDefault="00564513" w:rsidP="00564513">
            <w:pPr>
              <w:tabs>
                <w:tab w:val="left" w:pos="1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Используемое напряжение для работы компрессора: 220В.</w:t>
            </w:r>
          </w:p>
          <w:p w:rsidR="00564513" w:rsidRPr="00564513" w:rsidRDefault="00564513" w:rsidP="0056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комплект поставки входит паспорт с гарантийным талоном на сервисное обслуживание изделия, </w:t>
            </w:r>
            <w:proofErr w:type="spellStart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</w:t>
            </w:r>
            <w:proofErr w:type="spellEnd"/>
            <w:r w:rsidRPr="005645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не более </w:t>
            </w:r>
          </w:p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1862,61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212337,54</w:t>
            </w:r>
          </w:p>
        </w:tc>
      </w:tr>
      <w:tr w:rsidR="00564513" w:rsidRPr="00564513" w:rsidTr="00D72419">
        <w:trPr>
          <w:trHeight w:val="3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3" w:rsidRPr="00564513" w:rsidRDefault="00564513" w:rsidP="00564513">
            <w:pPr>
              <w:spacing w:after="0" w:line="240" w:lineRule="auto"/>
              <w:ind w:left="34" w:right="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250</w:t>
            </w:r>
          </w:p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13" w:rsidRPr="00564513" w:rsidRDefault="00564513" w:rsidP="005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564513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не более 1484609,76</w:t>
            </w:r>
          </w:p>
        </w:tc>
      </w:tr>
    </w:tbl>
    <w:p w:rsidR="00034E19" w:rsidRPr="00034E19" w:rsidRDefault="00034E19" w:rsidP="00034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4513" w:rsidRPr="007B1BEF" w:rsidRDefault="007B1BEF" w:rsidP="007B1B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B1BEF">
        <w:rPr>
          <w:rFonts w:ascii="Times New Roman" w:eastAsia="Calibri" w:hAnsi="Times New Roman" w:cs="Times New Roman"/>
          <w:lang w:eastAsia="ru-RU"/>
        </w:rPr>
        <w:t>Гарантийный срок Товара составляет не менее 12</w:t>
      </w:r>
      <w:r w:rsidRPr="00564513">
        <w:rPr>
          <w:rFonts w:ascii="Times New Roman" w:eastAsia="Calibri" w:hAnsi="Times New Roman" w:cs="Times New Roman"/>
          <w:sz w:val="20"/>
          <w:szCs w:val="20"/>
        </w:rPr>
        <w:t>*</w:t>
      </w:r>
      <w:r w:rsidRPr="007B1BEF">
        <w:rPr>
          <w:rFonts w:ascii="Times New Roman" w:eastAsia="Calibri" w:hAnsi="Times New Roman" w:cs="Times New Roman"/>
          <w:lang w:eastAsia="ru-RU"/>
        </w:rPr>
        <w:t xml:space="preserve">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564513" w:rsidRPr="00564513" w:rsidRDefault="00564513" w:rsidP="005645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/>
        </w:rPr>
      </w:pPr>
    </w:p>
    <w:p w:rsidR="00564513" w:rsidRPr="00564513" w:rsidRDefault="00564513" w:rsidP="005645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sz w:val="18"/>
          <w:szCs w:val="18"/>
          <w:lang w:eastAsia="ru-RU"/>
        </w:rPr>
      </w:pPr>
      <w:r w:rsidRPr="00564513">
        <w:rPr>
          <w:rFonts w:ascii="Times New Roman" w:eastAsia="Calibri" w:hAnsi="Times New Roman" w:cs="Times New Roman"/>
          <w:b/>
          <w:kern w:val="2"/>
          <w:sz w:val="18"/>
          <w:szCs w:val="18"/>
          <w:lang w:eastAsia="ru-RU"/>
        </w:rPr>
        <w:t>Обязательные требования к организации и режиму работы пунктов выдачи:</w:t>
      </w:r>
    </w:p>
    <w:p w:rsidR="00564513" w:rsidRPr="00564513" w:rsidRDefault="00564513" w:rsidP="005645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Сыктывкаре. Пункты выдачи в</w:t>
      </w:r>
      <w:r w:rsidRPr="00564513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ar-SA"/>
        </w:rPr>
        <w:t xml:space="preserve"> г. Ухта, </w:t>
      </w: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г. Воркута, г. Печора организовать в течение 3 (трех) календарных дней с даты получения </w:t>
      </w:r>
      <w:r w:rsidRPr="00564513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списка Получателей, получивших направления на обеспечение Товаром в рамках Контракта и </w:t>
      </w: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уведомить Заказчика о факти</w:t>
      </w:r>
      <w:r w:rsidR="007B1BE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ческом открытии пунктов выдачи </w:t>
      </w: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и начале работы посредством почтовой, факсимильной или посредством электронной почты.</w:t>
      </w:r>
    </w:p>
    <w:p w:rsidR="00564513" w:rsidRPr="00564513" w:rsidRDefault="00564513" w:rsidP="005645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 xml:space="preserve">Каждый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пунктов: не менее 8 часов в будни и в один выходной день в неделю.      </w:t>
      </w:r>
    </w:p>
    <w:p w:rsidR="00564513" w:rsidRPr="00564513" w:rsidRDefault="00564513" w:rsidP="005645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56451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Поставщик не позднее одного рабочего дня с даты организации каждого из пунктов выдачи Товара должен предоставить Заказчику информацию об адресах, телефонах и графиках работы пунктов выдачи путем направления сообщения электронной почты и почтовой связи.</w:t>
      </w:r>
    </w:p>
    <w:p w:rsidR="007440F7" w:rsidRDefault="007440F7">
      <w:pPr>
        <w:widowControl w:val="0"/>
        <w:tabs>
          <w:tab w:val="left" w:pos="8160"/>
        </w:tabs>
        <w:suppressAutoHyphens/>
        <w:autoSpaceDN w:val="0"/>
        <w:spacing w:after="0" w:line="240" w:lineRule="auto"/>
      </w:pPr>
    </w:p>
    <w:sectPr w:rsidR="007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E8"/>
    <w:rsid w:val="00034E19"/>
    <w:rsid w:val="00081294"/>
    <w:rsid w:val="000B45AD"/>
    <w:rsid w:val="0013414D"/>
    <w:rsid w:val="00134A16"/>
    <w:rsid w:val="002008BF"/>
    <w:rsid w:val="00464442"/>
    <w:rsid w:val="004761F1"/>
    <w:rsid w:val="00510D97"/>
    <w:rsid w:val="00564513"/>
    <w:rsid w:val="005D6447"/>
    <w:rsid w:val="007440F7"/>
    <w:rsid w:val="007B1BEF"/>
    <w:rsid w:val="00A37141"/>
    <w:rsid w:val="00C77D45"/>
    <w:rsid w:val="00D72419"/>
    <w:rsid w:val="00D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A254-42C0-49DB-8050-0335DDC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Юлия Юрьевна</dc:creator>
  <cp:keywords/>
  <dc:description/>
  <cp:lastModifiedBy>Мишарина Юлия Юрьевна</cp:lastModifiedBy>
  <cp:revision>29</cp:revision>
  <dcterms:created xsi:type="dcterms:W3CDTF">2022-12-14T11:17:00Z</dcterms:created>
  <dcterms:modified xsi:type="dcterms:W3CDTF">2023-02-21T07:59:00Z</dcterms:modified>
</cp:coreProperties>
</file>