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2C" w:rsidRPr="0089478C" w:rsidRDefault="0058622C" w:rsidP="0058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22C" w:rsidRPr="00D12B25" w:rsidRDefault="0058622C" w:rsidP="005862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 – специальных сре</w:t>
      </w:r>
      <w:proofErr w:type="gramStart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аборы - мочеприемники для </w:t>
      </w:r>
      <w:proofErr w:type="spellStart"/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самокатетеризации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уретральны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е,</w:t>
      </w:r>
      <w:r w:rsidRPr="008C60BE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мочеточниковы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</w:t>
      </w:r>
    </w:p>
    <w:p w:rsidR="0058622C" w:rsidRPr="00D12B25" w:rsidRDefault="0058622C" w:rsidP="005862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58622C" w:rsidRPr="00533B7F" w:rsidRDefault="0058622C" w:rsidP="0058622C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533B7F">
        <w:rPr>
          <w:rFonts w:ascii="Times New Roman" w:hAnsi="Times New Roman"/>
          <w:i/>
          <w:sz w:val="21"/>
          <w:szCs w:val="21"/>
        </w:rPr>
        <w:t>Таблица № 1</w:t>
      </w:r>
    </w:p>
    <w:tbl>
      <w:tblPr>
        <w:tblW w:w="549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7"/>
        <w:gridCol w:w="2048"/>
        <w:gridCol w:w="1562"/>
        <w:gridCol w:w="5517"/>
        <w:gridCol w:w="890"/>
      </w:tblGrid>
      <w:tr w:rsidR="0058622C" w:rsidRPr="00AE58E0" w:rsidTr="003D777B">
        <w:trPr>
          <w:trHeight w:val="149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Pr="00AE58E0" w:rsidRDefault="0058622C" w:rsidP="003D77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58622C" w:rsidRPr="00AE58E0" w:rsidRDefault="0058622C" w:rsidP="003D7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2C" w:rsidRPr="00AE58E0" w:rsidRDefault="0058622C" w:rsidP="003D7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Товара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Pr="00AE58E0" w:rsidRDefault="0058622C" w:rsidP="003D7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58622C" w:rsidRPr="00AE58E0" w:rsidRDefault="0058622C" w:rsidP="003D7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22C" w:rsidRPr="00881532" w:rsidRDefault="0058622C" w:rsidP="003D77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58622C" w:rsidRPr="00AE58E0" w:rsidRDefault="0058622C" w:rsidP="003D77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C" w:rsidRPr="00AE58E0" w:rsidRDefault="0058622C" w:rsidP="003D7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58622C" w:rsidRPr="00AE58E0" w:rsidTr="003D777B">
        <w:trPr>
          <w:trHeight w:hRule="exact" w:val="27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Pr="00AE58E0" w:rsidRDefault="0058622C" w:rsidP="003D77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2C" w:rsidRPr="00AE58E0" w:rsidRDefault="0058622C" w:rsidP="003D7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Default="0058622C" w:rsidP="003D77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22C" w:rsidRPr="00881532" w:rsidRDefault="0058622C" w:rsidP="003D77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C" w:rsidRPr="00AE58E0" w:rsidRDefault="0058622C" w:rsidP="003D7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8622C" w:rsidRPr="00AE58E0" w:rsidTr="003D777B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Pr="00AE58E0" w:rsidRDefault="0058622C" w:rsidP="003D77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2C" w:rsidRPr="00ED2E84" w:rsidRDefault="0058622C" w:rsidP="003D777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Наборы - мочеприемники для </w:t>
            </w:r>
            <w:proofErr w:type="spellStart"/>
            <w:r w:rsidRPr="001E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1E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мешок-мочеприемник, катетер </w:t>
            </w:r>
            <w:proofErr w:type="spellStart"/>
            <w:r w:rsidRPr="001E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1E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1E47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самокатетеризации</w:t>
            </w:r>
            <w:proofErr w:type="spell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2C" w:rsidRPr="00ED2E84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22C" w:rsidRPr="008B03E0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Набор-мочеприемник</w:t>
            </w:r>
            <w:r w:rsidRPr="008B03E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должен 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состо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ять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из мочеприемника, объединенного с </w:t>
            </w: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лубрицированным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катетером для </w:t>
            </w: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,  без раствора или  с  раствором  (0,9% водный раствор хлорида натрия) для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активации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лубриканта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катетера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: мочеприемник объемом не менее 700 мл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должен быть 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изготовлен из прочного полиэтилена,  </w:t>
            </w: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катетер для </w:t>
            </w: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самокатетеризации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должен быть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изготовлен из поливинилхлорида, покрытый гидрофильным </w:t>
            </w: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лубрикантом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, не требующ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ий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активации водой или активирующегося при контакте с</w:t>
            </w:r>
            <w:proofErr w:type="gram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водным раствором хлорида натрия.</w:t>
            </w:r>
          </w:p>
          <w:p w:rsidR="0058622C" w:rsidRPr="00ED2E84" w:rsidRDefault="0058622C" w:rsidP="003D77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Лубрицированный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катетер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должен иметь 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длину не менее 40 см, размер по </w:t>
            </w: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Шарьеру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CH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10,12,14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,16,18 </w:t>
            </w:r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зависимости от индивидуальной потребности инвалида)</w:t>
            </w:r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прямой цилиндрический наконечник с двумя боковыми отверстиями типа </w:t>
            </w:r>
            <w:proofErr w:type="spellStart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Нелатон</w:t>
            </w:r>
            <w:proofErr w:type="spellEnd"/>
            <w:r w:rsidRPr="008B03E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C" w:rsidRDefault="0058622C" w:rsidP="003D77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2 200</w:t>
            </w:r>
          </w:p>
        </w:tc>
      </w:tr>
      <w:tr w:rsidR="0058622C" w:rsidRPr="00AE58E0" w:rsidTr="003D777B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Default="0058622C" w:rsidP="003D77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2C" w:rsidRPr="001E478A" w:rsidRDefault="0058622C" w:rsidP="003D777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</w:t>
            </w:r>
            <w:r w:rsidRPr="0076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32.50.13.190-00006893- Катетер уретральный постоянный для дренажа/промывания</w:t>
            </w:r>
          </w:p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2C" w:rsidRPr="008C60BE" w:rsidRDefault="0058622C" w:rsidP="00EB544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22C" w:rsidRPr="008B03E0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Уретральный катетер </w:t>
            </w:r>
            <w:r w:rsidRPr="00ED2E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Фоллея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длительного стояния изготовлен из натурального латекса, двухходовой. Длинна – не менее 40см. Диаметр катетера по заявкам Заказчика от  №12 до №30 позволят провести индивидуальный подбор.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C" w:rsidRDefault="0058622C" w:rsidP="003D77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3 800</w:t>
            </w:r>
          </w:p>
        </w:tc>
      </w:tr>
      <w:tr w:rsidR="0058622C" w:rsidRPr="00AE58E0" w:rsidTr="003D777B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Default="0058622C" w:rsidP="003D777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2C" w:rsidRPr="00ED2E84" w:rsidRDefault="0058622C" w:rsidP="003D777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мочеточниковый для </w:t>
            </w:r>
            <w:proofErr w:type="spellStart"/>
            <w:r w:rsidRPr="008C6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уретерокутанеостомы</w:t>
            </w:r>
            <w:proofErr w:type="spell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58622C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2C" w:rsidRDefault="0058622C" w:rsidP="003D77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2C" w:rsidRPr="008C60BE" w:rsidRDefault="0058622C" w:rsidP="003D77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22C" w:rsidRPr="00ED2E84" w:rsidRDefault="0058622C" w:rsidP="003D77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мочеточниковый для </w:t>
            </w:r>
            <w:proofErr w:type="spellStart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уретерокутанеостомы</w:t>
            </w:r>
            <w:proofErr w:type="spellEnd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изготовлен из полимерного материала, стерилен. Используется для отведения мочи через </w:t>
            </w:r>
            <w:proofErr w:type="spellStart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уретерокутанеостому</w:t>
            </w:r>
            <w:proofErr w:type="spellEnd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Изделие с круглым фланцем для крепления к коже. Размер определяется по шкале </w:t>
            </w:r>
            <w:proofErr w:type="spellStart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Шарьера</w:t>
            </w:r>
            <w:proofErr w:type="spellEnd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</w:t>
            </w:r>
            <w:proofErr w:type="spellEnd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Диаметр изделия </w:t>
            </w:r>
            <w:proofErr w:type="spellStart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</w:t>
            </w:r>
            <w:proofErr w:type="spellEnd"/>
            <w:r w:rsidRPr="004676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8 до 16 (в зависимости от индивидуальной потребности инвалида)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C" w:rsidRDefault="0058622C" w:rsidP="003D77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8622C" w:rsidRPr="00AE58E0" w:rsidTr="003D777B">
        <w:trPr>
          <w:trHeight w:val="250"/>
        </w:trPr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C" w:rsidRPr="00AE58E0" w:rsidRDefault="0058622C" w:rsidP="003D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C" w:rsidRPr="00AE58E0" w:rsidRDefault="0058622C" w:rsidP="003D77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6 028</w:t>
            </w:r>
          </w:p>
        </w:tc>
      </w:tr>
    </w:tbl>
    <w:p w:rsidR="0058622C" w:rsidRDefault="0058622C" w:rsidP="005862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В отношении товар</w:t>
      </w:r>
      <w:proofErr w:type="gram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а(</w:t>
      </w:r>
      <w:proofErr w:type="gram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58622C" w:rsidRDefault="0058622C" w:rsidP="0058622C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1"/>
          <w:szCs w:val="21"/>
        </w:rPr>
      </w:pPr>
    </w:p>
    <w:p w:rsidR="0058622C" w:rsidRPr="00741E72" w:rsidRDefault="0058622C" w:rsidP="0058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lastRenderedPageBreak/>
        <w:t>Специальные средства при нарушениях функций выделения (</w:t>
      </w:r>
      <w:r w:rsidRPr="008C60BE">
        <w:rPr>
          <w:rFonts w:ascii="Times New Roman" w:hAnsi="Times New Roman" w:cs="Times New Roman"/>
          <w:bCs/>
        </w:rPr>
        <w:t xml:space="preserve">наборы - мочеприемники для </w:t>
      </w:r>
      <w:proofErr w:type="spellStart"/>
      <w:r w:rsidRPr="008C60BE">
        <w:rPr>
          <w:rFonts w:ascii="Times New Roman" w:hAnsi="Times New Roman" w:cs="Times New Roman"/>
          <w:bCs/>
        </w:rPr>
        <w:t>самокатетеризации</w:t>
      </w:r>
      <w:proofErr w:type="spellEnd"/>
      <w:r w:rsidRPr="008C60BE">
        <w:rPr>
          <w:rFonts w:ascii="Times New Roman" w:hAnsi="Times New Roman" w:cs="Times New Roman"/>
          <w:bCs/>
        </w:rPr>
        <w:t>, катетеры уретральные, катетеры мочеточниковые</w:t>
      </w:r>
      <w:r w:rsidRPr="00741E72">
        <w:rPr>
          <w:rFonts w:ascii="Times New Roman" w:hAnsi="Times New Roman" w:cs="Times New Roman"/>
          <w:bCs/>
        </w:rPr>
        <w:t>) – это устройства, носимые инвалидом на себе, предназначенные для сбора мочи и устранения агрессивного воздействия на кожу.</w:t>
      </w:r>
    </w:p>
    <w:p w:rsidR="0058622C" w:rsidRPr="00741E72" w:rsidRDefault="0058622C" w:rsidP="0058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t>Конструкция специальных сре</w:t>
      </w:r>
      <w:proofErr w:type="gramStart"/>
      <w:r w:rsidRPr="00741E72">
        <w:rPr>
          <w:rFonts w:ascii="Times New Roman" w:hAnsi="Times New Roman" w:cs="Times New Roman"/>
          <w:bCs/>
        </w:rPr>
        <w:t>дств пр</w:t>
      </w:r>
      <w:proofErr w:type="gramEnd"/>
      <w:r w:rsidRPr="00741E72">
        <w:rPr>
          <w:rFonts w:ascii="Times New Roman" w:hAnsi="Times New Roman" w:cs="Times New Roman"/>
          <w:bCs/>
        </w:rPr>
        <w:t>и нарушениях функций выделения (</w:t>
      </w:r>
      <w:r w:rsidRPr="008C60BE">
        <w:rPr>
          <w:rFonts w:ascii="Times New Roman" w:hAnsi="Times New Roman" w:cs="Times New Roman"/>
          <w:bCs/>
        </w:rPr>
        <w:t xml:space="preserve">наборы - мочеприемники для </w:t>
      </w:r>
      <w:proofErr w:type="spellStart"/>
      <w:r w:rsidRPr="008C60BE">
        <w:rPr>
          <w:rFonts w:ascii="Times New Roman" w:hAnsi="Times New Roman" w:cs="Times New Roman"/>
          <w:bCs/>
        </w:rPr>
        <w:t>самокатетеризации</w:t>
      </w:r>
      <w:proofErr w:type="spellEnd"/>
      <w:r w:rsidRPr="008C60BE">
        <w:rPr>
          <w:rFonts w:ascii="Times New Roman" w:hAnsi="Times New Roman" w:cs="Times New Roman"/>
          <w:bCs/>
        </w:rPr>
        <w:t>, катетеры уретральные, катетеры мочеточниковые</w:t>
      </w:r>
      <w:r w:rsidRPr="00741E72">
        <w:rPr>
          <w:rFonts w:ascii="Times New Roman" w:hAnsi="Times New Roman" w:cs="Times New Roman"/>
          <w:bCs/>
        </w:rPr>
        <w:t>) должна обеспечивать пользователю удобство и простоту обращения с ними.</w:t>
      </w:r>
    </w:p>
    <w:p w:rsidR="0058622C" w:rsidRPr="00741E72" w:rsidRDefault="0058622C" w:rsidP="0058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41E72">
        <w:rPr>
          <w:rFonts w:ascii="Times New Roman" w:hAnsi="Times New Roman" w:cs="Times New Roman"/>
          <w:bCs/>
        </w:rPr>
        <w:t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аборы - мочеприемники для </w:t>
      </w:r>
      <w:proofErr w:type="spellStart"/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самокатетеризации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уретральны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е,</w:t>
      </w:r>
      <w:r w:rsidRPr="008C60BE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8C60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мочеточниковы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741E72">
        <w:rPr>
          <w:rFonts w:ascii="Times New Roman" w:hAnsi="Times New Roman" w:cs="Times New Roman"/>
          <w:bCs/>
        </w:rPr>
        <w:t xml:space="preserve">) должны соответствовать требованиям стандартов серии ГОСТ </w:t>
      </w:r>
      <w:proofErr w:type="gramStart"/>
      <w:r w:rsidRPr="00741E72">
        <w:rPr>
          <w:rFonts w:ascii="Times New Roman" w:hAnsi="Times New Roman" w:cs="Times New Roman"/>
          <w:bCs/>
        </w:rPr>
        <w:t>Р</w:t>
      </w:r>
      <w:proofErr w:type="gramEnd"/>
      <w:r w:rsidRPr="00741E72">
        <w:rPr>
          <w:rFonts w:ascii="Times New Roman" w:hAnsi="Times New Roman" w:cs="Times New Roman"/>
          <w:bCs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741E72">
        <w:rPr>
          <w:rFonts w:ascii="Times New Roman" w:hAnsi="Times New Roman" w:cs="Times New Roman"/>
          <w:bCs/>
        </w:rPr>
        <w:t>Р</w:t>
      </w:r>
      <w:proofErr w:type="gramEnd"/>
      <w:r w:rsidRPr="00741E72">
        <w:rPr>
          <w:rFonts w:ascii="Times New Roman" w:hAnsi="Times New Roman" w:cs="Times New Roman"/>
          <w:bCs/>
        </w:rPr>
        <w:t xml:space="preserve"> 58235-2018 «Специальные средства при нарушении функции выделения. Термины и определения. Классификация», </w:t>
      </w:r>
    </w:p>
    <w:p w:rsidR="0058622C" w:rsidRPr="00741E72" w:rsidRDefault="0058622C" w:rsidP="0058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41E72">
        <w:rPr>
          <w:rFonts w:ascii="Times New Roman" w:hAnsi="Times New Roman" w:cs="Times New Roman"/>
          <w:b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741E72">
        <w:rPr>
          <w:rFonts w:ascii="Times New Roman" w:hAnsi="Times New Roman" w:cs="Times New Roman"/>
          <w:bCs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58622C" w:rsidRDefault="0058622C" w:rsidP="0058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622C" w:rsidRPr="0047798A" w:rsidRDefault="0058622C" w:rsidP="005862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58622C" w:rsidRDefault="0058622C" w:rsidP="0058622C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2C" w:rsidRPr="00147053" w:rsidRDefault="0058622C" w:rsidP="0058622C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Pr="00147053">
        <w:rPr>
          <w:rFonts w:ascii="Times New Roman" w:hAnsi="Times New Roman" w:cs="Times New Roman"/>
          <w:bCs/>
          <w:sz w:val="21"/>
          <w:szCs w:val="21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</w:t>
      </w:r>
      <w:r w:rsidRPr="00147053">
        <w:rPr>
          <w:rFonts w:ascii="Times New Roman" w:hAnsi="Times New Roman" w:cs="Times New Roman"/>
          <w:sz w:val="21"/>
          <w:szCs w:val="21"/>
        </w:rPr>
        <w:t>.</w:t>
      </w:r>
    </w:p>
    <w:p w:rsidR="0058622C" w:rsidRPr="0047798A" w:rsidRDefault="0058622C" w:rsidP="0058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</w:t>
      </w:r>
      <w:r>
        <w:rPr>
          <w:rFonts w:ascii="Times New Roman" w:hAnsi="Times New Roman" w:cs="Times New Roman"/>
          <w:sz w:val="21"/>
          <w:szCs w:val="21"/>
        </w:rPr>
        <w:t>сания объекта закупки</w:t>
      </w:r>
      <w:r w:rsidRPr="00982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58622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 xml:space="preserve">Маркировка должна быть достоверной, проверяемой и читаемой. 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Маркировка на потребительской упаковке  должна содержать: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страны-изготовителя;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номер артикула (при наличии);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дату (месяц, год) изготовления;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срок годности, устанавливаемый изготовителем;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обозначение стандарта;</w:t>
      </w:r>
    </w:p>
    <w:p w:rsidR="0058622C" w:rsidRPr="00F6501C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штриховой код (при наличии).</w:t>
      </w:r>
    </w:p>
    <w:p w:rsidR="0058622C" w:rsidRPr="00831FBE" w:rsidRDefault="0058622C" w:rsidP="0058622C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1"/>
          <w:szCs w:val="21"/>
        </w:rPr>
        <w:t>Товар должен</w:t>
      </w:r>
      <w:r w:rsidRPr="00F6501C">
        <w:rPr>
          <w:rFonts w:ascii="Times New Roman" w:hAnsi="Times New Roman" w:cs="Times New Roman"/>
          <w:bCs/>
          <w:iCs/>
          <w:sz w:val="21"/>
          <w:szCs w:val="21"/>
        </w:rPr>
        <w:t xml:space="preserve">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iCs/>
          <w:sz w:val="21"/>
          <w:szCs w:val="21"/>
        </w:rPr>
        <w:t>.</w:t>
      </w:r>
    </w:p>
    <w:p w:rsidR="0058622C" w:rsidRDefault="0058622C" w:rsidP="0058622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22C" w:rsidRPr="00800634" w:rsidRDefault="0058622C" w:rsidP="0058622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0063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lastRenderedPageBreak/>
        <w:t xml:space="preserve">Количество – </w:t>
      </w:r>
      <w:r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6 028</w:t>
      </w:r>
      <w:r w:rsidRPr="00F710A1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</w:t>
      </w:r>
      <w:r w:rsidRPr="00800634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58622C" w:rsidRDefault="0058622C" w:rsidP="0058622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58622C" w:rsidRPr="007915E9" w:rsidRDefault="0058622C" w:rsidP="00586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58622C" w:rsidRPr="007915E9" w:rsidRDefault="0058622C" w:rsidP="00586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Получателя</w:t>
      </w:r>
      <w:proofErr w:type="gramEnd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8622C" w:rsidRPr="007915E9" w:rsidRDefault="0058622C" w:rsidP="00586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58622C" w:rsidRPr="004003A0" w:rsidRDefault="0058622C" w:rsidP="0058622C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видеокамерами.</w:t>
      </w:r>
    </w:p>
    <w:p w:rsidR="0058622C" w:rsidRDefault="0058622C" w:rsidP="00586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22C" w:rsidRPr="00DE61F5" w:rsidRDefault="0058622C" w:rsidP="005862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 от Заказчика реестра получателей Товара до "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29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июля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года.</w:t>
      </w:r>
    </w:p>
    <w:p w:rsidR="0058622C" w:rsidRDefault="0058622C" w:rsidP="0058622C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Pr="00C4485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335B1C" w:rsidRDefault="00335B1C">
      <w:bookmarkStart w:id="0" w:name="_GoBack"/>
      <w:bookmarkEnd w:id="0"/>
    </w:p>
    <w:sectPr w:rsidR="00335B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C8" w:rsidRDefault="001F66C8">
      <w:pPr>
        <w:spacing w:after="0" w:line="240" w:lineRule="auto"/>
      </w:pPr>
      <w:r>
        <w:separator/>
      </w:r>
    </w:p>
  </w:endnote>
  <w:endnote w:type="continuationSeparator" w:id="0">
    <w:p w:rsidR="001F66C8" w:rsidRDefault="001F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5862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4C">
          <w:rPr>
            <w:noProof/>
          </w:rPr>
          <w:t>3</w:t>
        </w:r>
        <w:r>
          <w:fldChar w:fldCharType="end"/>
        </w:r>
      </w:p>
    </w:sdtContent>
  </w:sdt>
  <w:p w:rsidR="001A27AB" w:rsidRDefault="001F66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C8" w:rsidRDefault="001F66C8">
      <w:pPr>
        <w:spacing w:after="0" w:line="240" w:lineRule="auto"/>
      </w:pPr>
      <w:r>
        <w:separator/>
      </w:r>
    </w:p>
  </w:footnote>
  <w:footnote w:type="continuationSeparator" w:id="0">
    <w:p w:rsidR="001F66C8" w:rsidRDefault="001F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2C"/>
    <w:rsid w:val="001F66C8"/>
    <w:rsid w:val="00335B1C"/>
    <w:rsid w:val="0058622C"/>
    <w:rsid w:val="00E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8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2021-12-08T12:21:00Z</dcterms:created>
  <dcterms:modified xsi:type="dcterms:W3CDTF">2021-12-08T12:23:00Z</dcterms:modified>
</cp:coreProperties>
</file>