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E3" w:rsidRDefault="003C07E3" w:rsidP="003C07E3">
      <w:pPr>
        <w:jc w:val="center"/>
        <w:rPr>
          <w:b/>
        </w:rPr>
      </w:pPr>
      <w:r>
        <w:rPr>
          <w:b/>
        </w:rPr>
        <w:t xml:space="preserve">ОПИСАНИЕ ОБЪЕКТА ЗАКУПКИ </w:t>
      </w:r>
      <w:r>
        <w:rPr>
          <w:bCs/>
        </w:rPr>
        <w:t xml:space="preserve"> </w:t>
      </w:r>
      <w:r>
        <w:rPr>
          <w:b/>
        </w:rPr>
        <w:t xml:space="preserve">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со </w:t>
      </w:r>
      <w:hyperlink r:id="rId8" w:history="1">
        <w:r>
          <w:rPr>
            <w:rStyle w:val="af"/>
            <w:b/>
          </w:rPr>
          <w:t>статьей 33</w:t>
        </w:r>
      </w:hyperlink>
      <w:r>
        <w:rPr>
          <w:b/>
        </w:rPr>
        <w:t xml:space="preserve"> Закона</w:t>
      </w:r>
    </w:p>
    <w:p w:rsidR="001B2715" w:rsidRDefault="001B2715" w:rsidP="001B2715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</w:p>
    <w:p w:rsidR="005D369B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выполнение работ по </w:t>
      </w:r>
      <w:r w:rsidR="00C51EBE">
        <w:rPr>
          <w:b/>
          <w:bCs/>
        </w:rPr>
        <w:t>изготовлению</w:t>
      </w:r>
      <w:r>
        <w:rPr>
          <w:b/>
          <w:bCs/>
        </w:rPr>
        <w:t xml:space="preserve"> </w:t>
      </w:r>
      <w:r w:rsidR="00C73F51">
        <w:rPr>
          <w:b/>
          <w:bCs/>
        </w:rPr>
        <w:t>протеза нижней конечности</w:t>
      </w:r>
      <w:r w:rsidR="00C51EBE">
        <w:rPr>
          <w:b/>
          <w:bCs/>
        </w:rPr>
        <w:t xml:space="preserve"> для обеспечения</w:t>
      </w:r>
      <w:r>
        <w:rPr>
          <w:b/>
          <w:bCs/>
        </w:rPr>
        <w:t xml:space="preserve"> застрахованн</w:t>
      </w:r>
      <w:r w:rsidR="001177CB">
        <w:rPr>
          <w:b/>
          <w:bCs/>
        </w:rPr>
        <w:t>ого</w:t>
      </w:r>
      <w:r>
        <w:rPr>
          <w:b/>
          <w:bCs/>
        </w:rPr>
        <w:t xml:space="preserve"> лиц</w:t>
      </w:r>
      <w:r w:rsidR="001177CB">
        <w:rPr>
          <w:b/>
          <w:bCs/>
        </w:rPr>
        <w:t>а</w:t>
      </w:r>
      <w:r>
        <w:rPr>
          <w:b/>
          <w:bCs/>
        </w:rPr>
        <w:t>, пострадавш</w:t>
      </w:r>
      <w:r w:rsidR="001177CB">
        <w:rPr>
          <w:b/>
          <w:bCs/>
        </w:rPr>
        <w:t>его</w:t>
      </w:r>
      <w:r>
        <w:rPr>
          <w:b/>
          <w:bCs/>
        </w:rPr>
        <w:t xml:space="preserve"> вследствие несчастн</w:t>
      </w:r>
      <w:r w:rsidR="001177CB">
        <w:rPr>
          <w:b/>
          <w:bCs/>
        </w:rPr>
        <w:t>ого</w:t>
      </w:r>
      <w:r>
        <w:rPr>
          <w:b/>
          <w:bCs/>
        </w:rPr>
        <w:t xml:space="preserve"> случа</w:t>
      </w:r>
      <w:r w:rsidR="001177CB">
        <w:rPr>
          <w:b/>
          <w:bCs/>
        </w:rPr>
        <w:t>я</w:t>
      </w:r>
      <w:r>
        <w:rPr>
          <w:b/>
          <w:bCs/>
        </w:rPr>
        <w:t xml:space="preserve"> на производстве, </w:t>
      </w:r>
    </w:p>
    <w:p w:rsidR="000F02E4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>в 202</w:t>
      </w:r>
      <w:r w:rsidR="008F6C9F" w:rsidRPr="008F6C9F">
        <w:rPr>
          <w:b/>
          <w:bCs/>
        </w:rPr>
        <w:t>3</w:t>
      </w:r>
      <w:r>
        <w:rPr>
          <w:b/>
          <w:bCs/>
        </w:rPr>
        <w:t xml:space="preserve"> году.</w:t>
      </w:r>
    </w:p>
    <w:p w:rsidR="00641822" w:rsidRPr="001B2715" w:rsidRDefault="00641822" w:rsidP="001B2715">
      <w:pPr>
        <w:ind w:firstLine="360"/>
        <w:jc w:val="center"/>
        <w:rPr>
          <w:b/>
          <w:bCs/>
        </w:rPr>
      </w:pPr>
    </w:p>
    <w:p w:rsidR="00072A41" w:rsidRDefault="00072A41" w:rsidP="00072A4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Протез конечности (изготовленное по индивидуальному заказу изделие- 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Выполнение работ по обеспечению Изделием включает прием заказа, изготовление, примерку, подгонку, обучение пользованию и выдачу Изделия Получателю в целях   реабилитации, компенсации утраченных функций организма и неустранимых анатомических дефектов и деформаций.                   </w:t>
      </w:r>
      <w:bookmarkStart w:id="0" w:name="_GoBack"/>
      <w:bookmarkEnd w:id="0"/>
    </w:p>
    <w:p w:rsidR="00072A41" w:rsidRDefault="00072A41" w:rsidP="00072A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Изделие должно изготавливаться индивидуально с учетом анатомических дефектов нижней конечности,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072A41" w:rsidRDefault="00072A41" w:rsidP="00072A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2A41" w:rsidRDefault="00072A41" w:rsidP="00072A41">
      <w:pPr>
        <w:keepNext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Значения показателей, указанные Заказчиком как ссылка на ГОСТ – </w:t>
      </w:r>
      <w:r>
        <w:rPr>
          <w:b/>
          <w:bCs/>
          <w:i/>
          <w:sz w:val="20"/>
          <w:szCs w:val="20"/>
          <w:u w:val="single"/>
        </w:rPr>
        <w:t>НЕ ИЗМЕНЯЮТСЯ</w:t>
      </w:r>
      <w:r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ab/>
      </w:r>
    </w:p>
    <w:p w:rsidR="00072A41" w:rsidRDefault="00072A41" w:rsidP="00072A41">
      <w:pPr>
        <w:keepNext/>
        <w:jc w:val="both"/>
        <w:outlineLvl w:val="0"/>
        <w:rPr>
          <w:b/>
          <w:bCs/>
          <w:sz w:val="20"/>
          <w:szCs w:val="20"/>
          <w:u w:val="single"/>
        </w:rPr>
      </w:pP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Изделие изготавливается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 соответствии с ГОСТ Р 53869-2021 «Протезы нижних конечностей. Технические требования».</w:t>
      </w: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В ГОСТе Р 53869-2021 «Протезы нижних конечностей. Технические требования», применяемым в настоящем техническом задании, используются нормативные ссылки на другие стандарты в следующих разделах:</w:t>
      </w: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 5 «Общие требования» (ГОСТ Р 51191-2019 «Узлы протезов нижних конечностей. Технические требования и методы испытаний») (далее - ГОСТ 51191);</w:t>
      </w: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 8 «Конструктивные требования», п 8.1 «Общие требования» (</w:t>
      </w:r>
      <w:r>
        <w:rPr>
          <w:sz w:val="20"/>
          <w:szCs w:val="20"/>
        </w:rPr>
        <w:t>ГОСТ 1904-81 «Кожа шорно-седельная. Технические условия») (далее - ГОСТ 1904);</w:t>
      </w:r>
    </w:p>
    <w:p w:rsidR="00072A41" w:rsidRDefault="00072A41" w:rsidP="00072A41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Раздел 9 «</w:t>
      </w:r>
      <w:r>
        <w:rPr>
          <w:b w:val="0"/>
          <w:sz w:val="20"/>
          <w:szCs w:val="20"/>
        </w:rPr>
        <w:t>Требования к материалам</w:t>
      </w:r>
      <w:r>
        <w:rPr>
          <w:b w:val="0"/>
          <w:bCs w:val="0"/>
          <w:sz w:val="20"/>
          <w:szCs w:val="20"/>
        </w:rPr>
        <w:t>» (</w:t>
      </w:r>
      <w:r>
        <w:rPr>
          <w:b w:val="0"/>
          <w:sz w:val="20"/>
          <w:szCs w:val="20"/>
        </w:rPr>
        <w:t>ГОСТ 9.301-86 Единая система защиты от коррозии и старения. Покрытия металлические и неметаллические неорганические. Общие требования) (далее - ГОСТ 9.301).</w:t>
      </w: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Согласно ГОСТ Р 53869-2021 «Протезы нижних конечностей. Технические требования» к Изделиям предъявляются требования в следующей части (ссылка):</w:t>
      </w:r>
    </w:p>
    <w:p w:rsidR="00072A41" w:rsidRDefault="00072A41" w:rsidP="00072A41">
      <w:pPr>
        <w:rPr>
          <w:sz w:val="20"/>
          <w:szCs w:val="20"/>
        </w:rPr>
      </w:pPr>
      <w:r>
        <w:rPr>
          <w:sz w:val="20"/>
          <w:szCs w:val="20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072A41" w:rsidRDefault="00072A41" w:rsidP="00072A41">
      <w:pPr>
        <w:rPr>
          <w:sz w:val="20"/>
          <w:szCs w:val="20"/>
        </w:rPr>
      </w:pPr>
      <w:r>
        <w:rPr>
          <w:sz w:val="20"/>
          <w:szCs w:val="20"/>
        </w:rPr>
        <w:t xml:space="preserve">«5.4 Протез следует собирать из узлов, соответствующих требованиям </w:t>
      </w:r>
      <w:hyperlink r:id="rId9" w:history="1">
        <w:r>
          <w:rPr>
            <w:rStyle w:val="af"/>
          </w:rPr>
          <w:t>ГОСТ Р 51191</w:t>
        </w:r>
      </w:hyperlink>
      <w:r>
        <w:rPr>
          <w:sz w:val="20"/>
          <w:szCs w:val="20"/>
        </w:rPr>
        <w:t>, с учетом предельной массы тела и активности пользователя.»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а) возможность находиться пользователю в следующих основных положениях: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стояния,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сидения,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приседания;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возможность ходьбы: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ровной поверхности в произвольном темпе,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ровной поверхности в ускоренном темпе,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наклонной поверхности в сагиттальном направлении вверх и вниз,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лестнице вверх и вниз,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пересеченной местности;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в) возможность перемещения в стороны приставным шагом.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8.1.4.2 Внутренняя поверхность жестких приемных гильз может быть смягчена: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приклеенной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10" w:history="1">
        <w:r>
          <w:rPr>
            <w:rStyle w:val="af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;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11" w:history="1">
        <w:r>
          <w:rPr>
            <w:rStyle w:val="af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8.1.4.4 На внутренней поверхности гильз не должно быть неровностей, морщин, складок, </w:t>
      </w:r>
      <w:proofErr w:type="spellStart"/>
      <w:r>
        <w:rPr>
          <w:rFonts w:eastAsia="Calibri"/>
          <w:sz w:val="20"/>
          <w:szCs w:val="20"/>
        </w:rPr>
        <w:t>заминов</w:t>
      </w:r>
      <w:proofErr w:type="spellEnd"/>
      <w:r>
        <w:rPr>
          <w:rFonts w:eastAsia="Calibri"/>
          <w:sz w:val="20"/>
          <w:szCs w:val="20"/>
        </w:rPr>
        <w:t>, отслоений смягчающей подкладки.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8.1.4.5 Приемные несущие гильзы могут быть </w:t>
      </w:r>
      <w:proofErr w:type="spellStart"/>
      <w:r>
        <w:rPr>
          <w:rFonts w:eastAsia="Calibri"/>
          <w:sz w:val="20"/>
          <w:szCs w:val="20"/>
        </w:rPr>
        <w:t>полноконтактными</w:t>
      </w:r>
      <w:proofErr w:type="spellEnd"/>
      <w:r>
        <w:rPr>
          <w:rFonts w:eastAsia="Calibri"/>
          <w:sz w:val="20"/>
          <w:szCs w:val="20"/>
        </w:rPr>
        <w:t xml:space="preserve"> и </w:t>
      </w:r>
      <w:proofErr w:type="spellStart"/>
      <w:r>
        <w:rPr>
          <w:rFonts w:eastAsia="Calibri"/>
          <w:sz w:val="20"/>
          <w:szCs w:val="20"/>
        </w:rPr>
        <w:t>скелетированными</w:t>
      </w:r>
      <w:proofErr w:type="spellEnd"/>
      <w:r>
        <w:rPr>
          <w:rFonts w:eastAsia="Calibri"/>
          <w:sz w:val="20"/>
          <w:szCs w:val="20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>
        <w:rPr>
          <w:rFonts w:eastAsia="Calibri"/>
          <w:sz w:val="20"/>
          <w:szCs w:val="20"/>
        </w:rPr>
        <w:t>тянок</w:t>
      </w:r>
      <w:proofErr w:type="spellEnd"/>
      <w:r>
        <w:rPr>
          <w:rFonts w:eastAsia="Calibri"/>
          <w:sz w:val="20"/>
          <w:szCs w:val="20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«9.3 Металлические детали протеза должны быть изготовлены из </w:t>
      </w:r>
      <w:proofErr w:type="gramStart"/>
      <w:r>
        <w:rPr>
          <w:sz w:val="20"/>
          <w:szCs w:val="20"/>
        </w:rPr>
        <w:t>коррозионно-стойких</w:t>
      </w:r>
      <w:proofErr w:type="gramEnd"/>
      <w:r>
        <w:rPr>
          <w:sz w:val="20"/>
          <w:szCs w:val="20"/>
        </w:rPr>
        <w:t xml:space="preserve"> материалов или иметь защитные или защитно-декоративные покрытия по </w:t>
      </w:r>
      <w:hyperlink r:id="rId12" w:history="1">
        <w:r>
          <w:rPr>
            <w:rStyle w:val="af"/>
          </w:rPr>
          <w:t>ГОСТ 9.301</w:t>
        </w:r>
      </w:hyperlink>
      <w:r>
        <w:rPr>
          <w:sz w:val="20"/>
          <w:szCs w:val="20"/>
        </w:rPr>
        <w:t>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>
        <w:rPr>
          <w:sz w:val="20"/>
          <w:szCs w:val="20"/>
        </w:rPr>
        <w:t>подформовку</w:t>
      </w:r>
      <w:proofErr w:type="spellEnd"/>
      <w:r>
        <w:rPr>
          <w:sz w:val="20"/>
          <w:szCs w:val="20"/>
        </w:rPr>
        <w:t>).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9.6 Материалы приемных гильз не должны деформироваться в процессе эксплуатации протеза.»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«</w:t>
      </w:r>
      <w:r>
        <w:rPr>
          <w:sz w:val="20"/>
          <w:szCs w:val="20"/>
        </w:rPr>
        <w:t>10.1 В комплект поставки протеза должны входить: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-протез;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- специальные инструменты для сборки протеза (допускается комплектовать по договору с пользователем протеза).»</w:t>
      </w:r>
    </w:p>
    <w:p w:rsidR="00072A41" w:rsidRDefault="00072A41" w:rsidP="00072A41">
      <w:pPr>
        <w:jc w:val="both"/>
        <w:rPr>
          <w:bCs/>
          <w:sz w:val="20"/>
          <w:szCs w:val="20"/>
        </w:rPr>
      </w:pP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маркировке и упаковке Изделия предъявляются требования в соответствии с ГОСТ Р 53869-2021 «Протезы нижних конечностей. Технические требования» со ссылками на следующие стандарты: 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ГОСТ Р ИСО 22523-2007 «Протезы конечностей и </w:t>
      </w:r>
      <w:proofErr w:type="spellStart"/>
      <w:r>
        <w:rPr>
          <w:bCs/>
          <w:sz w:val="20"/>
          <w:szCs w:val="20"/>
        </w:rPr>
        <w:t>ортезы</w:t>
      </w:r>
      <w:proofErr w:type="spellEnd"/>
      <w:r>
        <w:rPr>
          <w:bCs/>
          <w:sz w:val="20"/>
          <w:szCs w:val="20"/>
        </w:rPr>
        <w:t xml:space="preserve"> наружные. Требования и методы испытаний» (далее – ГОСТ 22523);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8273-75 «Бумага оберточная. Технические условия» (далее – ГОСТ 8273);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10354-82 «Пленка полиэтиленовая. Технические условия » (далее – ГОСТ 10354);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7933-89 «Картон для потребительской тары. Общие технические условия» (далее – ГОСТ 7933);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29298-2005 «Ткани хлопчатобумажные и смешанные бытовые. Общие технические условия» (далее – ГОСТ 29298).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маркировке и упаковке Изделий предъявляются следующие  требования</w:t>
      </w:r>
      <w:proofErr w:type="gramStart"/>
      <w:r>
        <w:rPr>
          <w:bCs/>
          <w:sz w:val="20"/>
          <w:szCs w:val="20"/>
        </w:rPr>
        <w:t xml:space="preserve"> :</w:t>
      </w:r>
      <w:proofErr w:type="gramEnd"/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Маркировка должна соответствовать </w:t>
      </w:r>
      <w:hyperlink r:id="rId13" w:history="1">
        <w:r>
          <w:rPr>
            <w:rStyle w:val="af"/>
          </w:rPr>
          <w:t>ГОСТ Р ИСО 22523</w:t>
        </w:r>
      </w:hyperlink>
      <w:r>
        <w:rPr>
          <w:color w:val="0000FF"/>
          <w:sz w:val="20"/>
          <w:szCs w:val="20"/>
          <w:u w:val="single"/>
        </w:rPr>
        <w:t>-2007</w:t>
      </w:r>
      <w:r>
        <w:rPr>
          <w:sz w:val="20"/>
          <w:szCs w:val="20"/>
        </w:rPr>
        <w:t xml:space="preserve">, подраздел 13.2, с дополнениями, указанными в ТУ на протез конкретного типа. Упаковку ПНК проводят при их выдаче. В зависимости от размеров ПНК упаковывают в оберточную бумагу по </w:t>
      </w:r>
      <w:hyperlink r:id="rId14" w:history="1">
        <w:r>
          <w:rPr>
            <w:rStyle w:val="af"/>
          </w:rPr>
          <w:t>ГОСТ 8273</w:t>
        </w:r>
      </w:hyperlink>
      <w:r>
        <w:rPr>
          <w:color w:val="0000FF"/>
          <w:sz w:val="20"/>
          <w:szCs w:val="20"/>
          <w:u w:val="single"/>
        </w:rPr>
        <w:t>-75</w:t>
      </w:r>
      <w:r>
        <w:rPr>
          <w:sz w:val="20"/>
          <w:szCs w:val="20"/>
        </w:rPr>
        <w:t xml:space="preserve"> или в потребительскую тару - пакет из полиэтиленовой пленки по </w:t>
      </w:r>
      <w:hyperlink r:id="rId15" w:history="1">
        <w:r>
          <w:rPr>
            <w:rStyle w:val="af"/>
          </w:rPr>
          <w:t>ГОСТ 10354</w:t>
        </w:r>
      </w:hyperlink>
      <w:r>
        <w:rPr>
          <w:color w:val="0000FF"/>
          <w:sz w:val="20"/>
          <w:szCs w:val="20"/>
          <w:u w:val="single"/>
        </w:rPr>
        <w:t>-82</w:t>
      </w:r>
      <w:r>
        <w:rPr>
          <w:sz w:val="20"/>
          <w:szCs w:val="20"/>
        </w:rPr>
        <w:t xml:space="preserve">, коробку из картона по </w:t>
      </w:r>
      <w:hyperlink r:id="rId16" w:history="1">
        <w:r>
          <w:rPr>
            <w:rStyle w:val="af"/>
          </w:rPr>
          <w:t>ГОСТ 7933</w:t>
        </w:r>
      </w:hyperlink>
      <w:r>
        <w:rPr>
          <w:color w:val="0000FF"/>
          <w:sz w:val="20"/>
          <w:szCs w:val="20"/>
          <w:u w:val="single"/>
        </w:rPr>
        <w:t>-89</w:t>
      </w:r>
      <w:r>
        <w:rPr>
          <w:sz w:val="20"/>
          <w:szCs w:val="20"/>
        </w:rPr>
        <w:t xml:space="preserve"> и/или в чехол из хлопчатобумажной ткани по </w:t>
      </w:r>
      <w:hyperlink r:id="rId17" w:history="1">
        <w:r>
          <w:rPr>
            <w:rStyle w:val="af"/>
          </w:rPr>
          <w:t>ГОСТ 29298</w:t>
        </w:r>
      </w:hyperlink>
      <w:r>
        <w:rPr>
          <w:color w:val="0000FF"/>
          <w:sz w:val="20"/>
          <w:szCs w:val="20"/>
          <w:u w:val="single"/>
        </w:rPr>
        <w:t>-2005</w:t>
      </w:r>
      <w:r>
        <w:rPr>
          <w:sz w:val="20"/>
          <w:szCs w:val="20"/>
        </w:rPr>
        <w:t>.</w:t>
      </w: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  <w:sectPr w:rsidR="00EC3FFD" w:rsidSect="00F7504A">
          <w:endnotePr>
            <w:numFmt w:val="decimal"/>
          </w:endnotePr>
          <w:pgSz w:w="11906" w:h="16838"/>
          <w:pgMar w:top="678" w:right="426" w:bottom="1134" w:left="709" w:header="709" w:footer="709" w:gutter="0"/>
          <w:cols w:space="708"/>
          <w:docGrid w:linePitch="360"/>
        </w:sectPr>
      </w:pPr>
    </w:p>
    <w:p w:rsidR="00973B90" w:rsidRDefault="00973B90" w:rsidP="004516E6">
      <w:pPr>
        <w:spacing w:line="276" w:lineRule="auto"/>
        <w:rPr>
          <w:rFonts w:eastAsia="Calibri"/>
          <w:b/>
          <w:bCs/>
          <w:sz w:val="20"/>
          <w:szCs w:val="20"/>
        </w:r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559"/>
        <w:gridCol w:w="1559"/>
        <w:gridCol w:w="4111"/>
        <w:gridCol w:w="992"/>
        <w:gridCol w:w="1560"/>
        <w:gridCol w:w="1984"/>
      </w:tblGrid>
      <w:tr w:rsidR="003C24AB" w:rsidRPr="00641822" w:rsidTr="003C24AB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EBE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Наименование</w:t>
            </w:r>
            <w:r w:rsidR="00964241">
              <w:rPr>
                <w:bCs/>
                <w:sz w:val="18"/>
                <w:szCs w:val="18"/>
              </w:rPr>
              <w:t xml:space="preserve"> работы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964241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изготовленного по индивидуальному заказу</w:t>
            </w:r>
            <w:proofErr w:type="gramEnd"/>
          </w:p>
          <w:p w:rsidR="003C24AB" w:rsidRPr="00641822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18"/>
                <w:szCs w:val="18"/>
              </w:rPr>
              <w:t>Изделия</w:t>
            </w:r>
            <w:r w:rsidR="0096424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3C24AB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C51EBE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>писание работы</w:t>
            </w:r>
            <w:r w:rsidR="00834122">
              <w:rPr>
                <w:rFonts w:eastAsia="Calibri"/>
                <w:b/>
                <w:sz w:val="20"/>
                <w:szCs w:val="20"/>
              </w:rPr>
              <w:t xml:space="preserve"> (изготовление по индивидуальному заказу изделия)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в случае отсутствия соответствующих позиций в КТРУ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 xml:space="preserve">Объем работ, </w:t>
            </w:r>
            <w:r w:rsidR="00834122">
              <w:rPr>
                <w:b/>
                <w:color w:val="000000"/>
                <w:sz w:val="20"/>
                <w:szCs w:val="20"/>
              </w:rPr>
              <w:t>(изделий)</w:t>
            </w:r>
            <w:r w:rsidRPr="00641822">
              <w:rPr>
                <w:b/>
                <w:color w:val="000000"/>
                <w:sz w:val="20"/>
                <w:szCs w:val="20"/>
              </w:rPr>
              <w:t xml:space="preserve">  штука</w:t>
            </w: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964241">
              <w:rPr>
                <w:b/>
                <w:bCs/>
                <w:sz w:val="20"/>
                <w:szCs w:val="20"/>
              </w:rPr>
              <w:t>единицу работы</w:t>
            </w:r>
            <w:r w:rsidRPr="00641822">
              <w:rPr>
                <w:b/>
                <w:bCs/>
                <w:sz w:val="20"/>
                <w:szCs w:val="20"/>
              </w:rPr>
              <w:t>,</w:t>
            </w:r>
          </w:p>
          <w:p w:rsidR="003C24AB" w:rsidRPr="00641822" w:rsidRDefault="003C24AB" w:rsidP="00ED2FA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3C24AB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>работы</w:t>
            </w:r>
            <w:r w:rsidR="00964241"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sz w:val="20"/>
                <w:szCs w:val="20"/>
              </w:rPr>
              <w:t>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объема выполняемой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>(при наличии)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 такого описания в позиции) по КТРУ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3C24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3C24AB" w:rsidRPr="00641822" w:rsidTr="00333284">
        <w:trPr>
          <w:trHeight w:val="1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F7504A" w:rsidP="00F750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F7504A" w:rsidP="006519DB">
            <w:pPr>
              <w:jc w:val="center"/>
            </w:pPr>
            <w:r>
              <w:t xml:space="preserve">Протез </w:t>
            </w:r>
            <w:r w:rsidR="006519DB">
              <w:t>бедра</w:t>
            </w:r>
            <w:r w:rsidR="00CF1DE5">
              <w:t xml:space="preserve"> модульный с микропроцессорным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F1DE5" w:rsidP="008E0B7B">
            <w:pPr>
              <w:jc w:val="center"/>
            </w:pPr>
            <w: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F1DE5" w:rsidP="008E0B7B">
            <w:pPr>
              <w:jc w:val="center"/>
            </w:pPr>
            <w: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F1DE5" w:rsidP="008E0B7B">
            <w:pPr>
              <w:jc w:val="center"/>
            </w:pPr>
            <w: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324CFA" w:rsidRDefault="006519DB" w:rsidP="00FF5C95">
            <w:pPr>
              <w:jc w:val="both"/>
              <w:rPr>
                <w:sz w:val="18"/>
                <w:szCs w:val="18"/>
              </w:rPr>
            </w:pPr>
            <w:r w:rsidRPr="00906FA8">
              <w:rPr>
                <w:sz w:val="18"/>
                <w:szCs w:val="18"/>
                <w:lang w:eastAsia="ar-SA"/>
              </w:rPr>
              <w:t>Изделие изготовленное – протез бедра модульный с микропроцессорным управлением для пациентов 3-4 уровня активности.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F300AA">
              <w:rPr>
                <w:sz w:val="18"/>
                <w:szCs w:val="18"/>
                <w:lang w:eastAsia="ar-SA"/>
              </w:rPr>
              <w:t xml:space="preserve">Приемная гильза индивидуальная (2 пробные гильзы). Материал постоянной индивидуальной гильзы – литьевой слоистый пластик на основе акриловых смол. В качестве вкладного элемента  используются чехлы силиконовые с пятью встроенными мембранами  (3 </w:t>
            </w:r>
            <w:proofErr w:type="spellStart"/>
            <w:proofErr w:type="gramStart"/>
            <w:r w:rsidRPr="00F300AA">
              <w:rPr>
                <w:sz w:val="18"/>
                <w:szCs w:val="18"/>
                <w:lang w:eastAsia="ar-SA"/>
              </w:rPr>
              <w:t>шт</w:t>
            </w:r>
            <w:proofErr w:type="spellEnd"/>
            <w:proofErr w:type="gramEnd"/>
            <w:r w:rsidRPr="00F300AA">
              <w:rPr>
                <w:sz w:val="18"/>
                <w:szCs w:val="18"/>
                <w:lang w:eastAsia="ar-SA"/>
              </w:rPr>
              <w:t>). Крепление чехлов за счет вакуумных мембран и клапана (герметичность вакуумного пространства достигается благодаря эластичности вакуумных мембран системы крепления, что приводит к минимизации поршневых движений, и в результате позволяет пациентам ощущать больший комфорт и стабильность). Формообразующая часть косметической облицовки – протектор. 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пациенту подниматься по лестнице и наклонной плоскости переменным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F300AA">
              <w:rPr>
                <w:sz w:val="18"/>
                <w:szCs w:val="18"/>
                <w:lang w:eastAsia="ar-SA"/>
              </w:rPr>
              <w:t xml:space="preserve">(не приставным) шагом, с режимом полной фиксации под любым углом. Стопа карбоновая, со съёмной косметической оболочкой, отведенным большим пальцем и встроенным функциональным кольцом, обеспечивающее эффективное снижение вертикальных усилий и крутящих нагрузок, адаптированная как для повседневного использования, так и для занятий спортивными упражнениями. Наличие поворотного регулировочно – соединительного устройства, </w:t>
            </w:r>
            <w:r w:rsidRPr="00F300AA">
              <w:rPr>
                <w:sz w:val="18"/>
                <w:szCs w:val="18"/>
                <w:lang w:eastAsia="ar-SA"/>
              </w:rPr>
              <w:lastRenderedPageBreak/>
              <w:t xml:space="preserve">обеспечивающего возможность поворота согнутой в колене искусственной голени относительно гильзы (для обеспечения самообслуживания пациента).  </w:t>
            </w:r>
            <w:r w:rsidRPr="00906FA8">
              <w:rPr>
                <w:sz w:val="18"/>
                <w:szCs w:val="18"/>
                <w:lang w:eastAsia="ar-SA"/>
              </w:rPr>
              <w:t>Изготовление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73F51" w:rsidP="00C73F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    </w:t>
            </w:r>
            <w:r w:rsidR="00F750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6519D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4 764 444,67</w:t>
            </w:r>
          </w:p>
        </w:tc>
        <w:tc>
          <w:tcPr>
            <w:tcW w:w="1984" w:type="dxa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CB66FD">
        <w:trPr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AB" w:rsidRDefault="003C24AB" w:rsidP="006519D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CB66FD">
              <w:rPr>
                <w:sz w:val="20"/>
                <w:szCs w:val="20"/>
              </w:rPr>
              <w:t xml:space="preserve"> </w:t>
            </w:r>
            <w:r w:rsidR="00CB66FD">
              <w:rPr>
                <w:sz w:val="20"/>
                <w:szCs w:val="20"/>
              </w:rPr>
              <w:t>Объем работ</w:t>
            </w:r>
            <w:r w:rsidR="00CB66FD">
              <w:rPr>
                <w:sz w:val="20"/>
                <w:szCs w:val="20"/>
              </w:rPr>
              <w:t xml:space="preserve"> </w:t>
            </w:r>
            <w:r w:rsidR="00F75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штук</w:t>
            </w:r>
            <w:r w:rsidR="00F7504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начальная (максимальная) цена контракта </w:t>
            </w:r>
            <w:r w:rsidR="006519DB">
              <w:rPr>
                <w:sz w:val="20"/>
                <w:szCs w:val="20"/>
              </w:rPr>
              <w:t>4 764 444</w:t>
            </w:r>
            <w:r>
              <w:rPr>
                <w:sz w:val="20"/>
                <w:szCs w:val="20"/>
              </w:rPr>
              <w:t xml:space="preserve"> руб.</w:t>
            </w:r>
            <w:r w:rsidR="006519DB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коп.</w:t>
            </w:r>
          </w:p>
        </w:tc>
      </w:tr>
    </w:tbl>
    <w:p w:rsidR="0084474F" w:rsidRPr="000A51E2" w:rsidRDefault="005D369B" w:rsidP="000A51E2">
      <w:pPr>
        <w:jc w:val="both"/>
        <w:rPr>
          <w:sz w:val="20"/>
          <w:szCs w:val="20"/>
        </w:rPr>
      </w:pPr>
    </w:p>
    <w:sectPr w:rsidR="0084474F" w:rsidRPr="000A51E2" w:rsidSect="00EC3FFD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AC" w:rsidRDefault="006449AC" w:rsidP="001E3464">
      <w:r>
        <w:separator/>
      </w:r>
    </w:p>
  </w:endnote>
  <w:endnote w:type="continuationSeparator" w:id="0">
    <w:p w:rsidR="006449AC" w:rsidRDefault="006449AC" w:rsidP="001E3464">
      <w:r>
        <w:continuationSeparator/>
      </w:r>
    </w:p>
  </w:endnote>
  <w:endnote w:id="1">
    <w:p w:rsidR="00C51EBE" w:rsidRDefault="00C51EBE" w:rsidP="00C51EBE">
      <w:pPr>
        <w:rPr>
          <w:sz w:val="20"/>
          <w:szCs w:val="20"/>
        </w:rPr>
      </w:pPr>
      <w:r w:rsidRPr="00CB66FD">
        <w:rPr>
          <w:b/>
          <w:sz w:val="20"/>
          <w:szCs w:val="20"/>
        </w:rPr>
        <w:t>Срок выполнения работ</w:t>
      </w:r>
      <w:r>
        <w:rPr>
          <w:sz w:val="20"/>
          <w:szCs w:val="20"/>
        </w:rPr>
        <w:t xml:space="preserve"> (завершения обеспечения Получателей Изделиями) с момента заключения Контракта Сторонами по </w:t>
      </w:r>
      <w:r w:rsidR="006519DB">
        <w:rPr>
          <w:sz w:val="20"/>
          <w:szCs w:val="20"/>
        </w:rPr>
        <w:t>2</w:t>
      </w:r>
      <w:r w:rsidR="00E25A09" w:rsidRPr="00E25A09">
        <w:rPr>
          <w:sz w:val="20"/>
          <w:szCs w:val="20"/>
        </w:rPr>
        <w:t>4</w:t>
      </w:r>
      <w:r w:rsidR="006519DB">
        <w:rPr>
          <w:sz w:val="20"/>
          <w:szCs w:val="20"/>
        </w:rPr>
        <w:t>.0</w:t>
      </w:r>
      <w:r w:rsidR="00E25A09" w:rsidRPr="00E25A09">
        <w:rPr>
          <w:sz w:val="20"/>
          <w:szCs w:val="20"/>
        </w:rPr>
        <w:t>2</w:t>
      </w:r>
      <w:r w:rsidR="006519DB">
        <w:rPr>
          <w:sz w:val="20"/>
          <w:szCs w:val="20"/>
        </w:rPr>
        <w:t>.</w:t>
      </w:r>
      <w:r w:rsidR="00FF5C95">
        <w:rPr>
          <w:sz w:val="20"/>
          <w:szCs w:val="20"/>
        </w:rPr>
        <w:t>2023</w:t>
      </w:r>
    </w:p>
    <w:p w:rsidR="00F84257" w:rsidRDefault="00F84257" w:rsidP="00C51EBE">
      <w:pPr>
        <w:rPr>
          <w:sz w:val="20"/>
          <w:szCs w:val="20"/>
        </w:rPr>
      </w:pPr>
    </w:p>
    <w:p w:rsidR="00F84257" w:rsidRPr="00F84257" w:rsidRDefault="00F84257" w:rsidP="00F8425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B66FD">
        <w:rPr>
          <w:b/>
          <w:bCs/>
          <w:color w:val="000000"/>
          <w:sz w:val="20"/>
          <w:szCs w:val="20"/>
        </w:rPr>
        <w:t>Место выполнения работ</w:t>
      </w:r>
      <w:r w:rsidRPr="00F84257">
        <w:rPr>
          <w:bCs/>
          <w:color w:val="000000"/>
          <w:sz w:val="20"/>
          <w:szCs w:val="20"/>
        </w:rPr>
        <w:t>: РФ, по мест</w:t>
      </w:r>
      <w:r w:rsidR="00834122">
        <w:rPr>
          <w:bCs/>
          <w:color w:val="000000"/>
          <w:sz w:val="20"/>
          <w:szCs w:val="20"/>
        </w:rPr>
        <w:t>у выполнения работ (изготовлени</w:t>
      </w:r>
      <w:r w:rsidR="00DF21AD">
        <w:rPr>
          <w:bCs/>
          <w:color w:val="000000"/>
          <w:sz w:val="20"/>
          <w:szCs w:val="20"/>
        </w:rPr>
        <w:t>я</w:t>
      </w:r>
      <w:r w:rsidRPr="00F84257">
        <w:rPr>
          <w:bCs/>
          <w:color w:val="000000"/>
          <w:sz w:val="20"/>
          <w:szCs w:val="20"/>
        </w:rPr>
        <w:t xml:space="preserve"> издели</w:t>
      </w:r>
      <w:r w:rsidR="00F7504A">
        <w:rPr>
          <w:bCs/>
          <w:color w:val="000000"/>
          <w:sz w:val="20"/>
          <w:szCs w:val="20"/>
        </w:rPr>
        <w:t>я</w:t>
      </w:r>
      <w:r w:rsidRPr="00F84257">
        <w:rPr>
          <w:bCs/>
          <w:color w:val="000000"/>
          <w:sz w:val="20"/>
          <w:szCs w:val="20"/>
        </w:rPr>
        <w:t xml:space="preserve"> с учетом индивидуальных обмеров и индивидуальных показаний Получателя). </w:t>
      </w:r>
      <w:proofErr w:type="gramStart"/>
      <w:r w:rsidRPr="00F84257">
        <w:rPr>
          <w:bCs/>
          <w:color w:val="000000"/>
          <w:sz w:val="20"/>
          <w:szCs w:val="20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F84257" w:rsidRPr="00F84257" w:rsidRDefault="00F84257" w:rsidP="00C51EBE">
      <w:pPr>
        <w:rPr>
          <w:sz w:val="20"/>
          <w:szCs w:val="20"/>
        </w:rPr>
      </w:pPr>
    </w:p>
    <w:p w:rsidR="00C51EBE" w:rsidRDefault="00C51EBE" w:rsidP="00C51EBE">
      <w:pPr>
        <w:rPr>
          <w:sz w:val="20"/>
          <w:szCs w:val="20"/>
        </w:rPr>
      </w:pPr>
    </w:p>
    <w:p w:rsidR="00C51EBE" w:rsidRDefault="00C51EBE" w:rsidP="00C51EBE">
      <w:pPr>
        <w:rPr>
          <w:bCs/>
          <w:i/>
        </w:rPr>
      </w:pPr>
      <w:r>
        <w:rPr>
          <w:rStyle w:val="a8"/>
        </w:rPr>
        <w:t>1</w:t>
      </w:r>
      <w:r w:rsidRPr="007C6F3E">
        <w:rPr>
          <w:i/>
          <w:sz w:val="16"/>
          <w:szCs w:val="16"/>
        </w:rPr>
        <w:t xml:space="preserve"> </w:t>
      </w:r>
      <w:r w:rsidRPr="005C5F6D">
        <w:rPr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C51EBE" w:rsidRPr="005942D7" w:rsidRDefault="00C51EBE" w:rsidP="00C51EBE">
      <w:pPr>
        <w:pStyle w:val="3"/>
        <w:ind w:left="0"/>
        <w:jc w:val="both"/>
        <w:rPr>
          <w:sz w:val="20"/>
          <w:szCs w:val="20"/>
        </w:rPr>
      </w:pPr>
      <w:r w:rsidRPr="002D02D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3C24AB" w:rsidRPr="00F020D6" w:rsidRDefault="003C24AB" w:rsidP="001E3464">
      <w:pPr>
        <w:autoSpaceDE w:val="0"/>
        <w:autoSpaceDN w:val="0"/>
        <w:adjustRightInd w:val="0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AC" w:rsidRDefault="006449AC" w:rsidP="001E3464">
      <w:r>
        <w:separator/>
      </w:r>
    </w:p>
  </w:footnote>
  <w:footnote w:type="continuationSeparator" w:id="0">
    <w:p w:rsidR="006449AC" w:rsidRDefault="006449AC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54B94"/>
    <w:rsid w:val="00072A41"/>
    <w:rsid w:val="000A51E2"/>
    <w:rsid w:val="000B41E1"/>
    <w:rsid w:val="000F02E4"/>
    <w:rsid w:val="001177CB"/>
    <w:rsid w:val="001B2715"/>
    <w:rsid w:val="001B6CF9"/>
    <w:rsid w:val="001D53D6"/>
    <w:rsid w:val="001E3464"/>
    <w:rsid w:val="00223BCA"/>
    <w:rsid w:val="002E335A"/>
    <w:rsid w:val="0030305A"/>
    <w:rsid w:val="00324CFA"/>
    <w:rsid w:val="00333284"/>
    <w:rsid w:val="003C07E3"/>
    <w:rsid w:val="003C24AB"/>
    <w:rsid w:val="004416B7"/>
    <w:rsid w:val="00444F3C"/>
    <w:rsid w:val="004516E6"/>
    <w:rsid w:val="0056491E"/>
    <w:rsid w:val="00574D68"/>
    <w:rsid w:val="00596F81"/>
    <w:rsid w:val="005D369B"/>
    <w:rsid w:val="00633909"/>
    <w:rsid w:val="00636046"/>
    <w:rsid w:val="00641822"/>
    <w:rsid w:val="006449AC"/>
    <w:rsid w:val="006519DB"/>
    <w:rsid w:val="0066510C"/>
    <w:rsid w:val="00666B04"/>
    <w:rsid w:val="006D63A9"/>
    <w:rsid w:val="00777921"/>
    <w:rsid w:val="007C133A"/>
    <w:rsid w:val="00834122"/>
    <w:rsid w:val="00843CAA"/>
    <w:rsid w:val="008E0B7B"/>
    <w:rsid w:val="008F6C9F"/>
    <w:rsid w:val="00964241"/>
    <w:rsid w:val="00973B90"/>
    <w:rsid w:val="00A07A35"/>
    <w:rsid w:val="00AB7BD7"/>
    <w:rsid w:val="00B235E1"/>
    <w:rsid w:val="00C16430"/>
    <w:rsid w:val="00C21A99"/>
    <w:rsid w:val="00C51EBE"/>
    <w:rsid w:val="00C525F3"/>
    <w:rsid w:val="00C73F51"/>
    <w:rsid w:val="00CA6879"/>
    <w:rsid w:val="00CB66FD"/>
    <w:rsid w:val="00CD6B01"/>
    <w:rsid w:val="00CE7F53"/>
    <w:rsid w:val="00CF1DE5"/>
    <w:rsid w:val="00DF21AD"/>
    <w:rsid w:val="00E11F90"/>
    <w:rsid w:val="00E25A09"/>
    <w:rsid w:val="00E76C12"/>
    <w:rsid w:val="00EC3FFD"/>
    <w:rsid w:val="00ED1075"/>
    <w:rsid w:val="00F7504A"/>
    <w:rsid w:val="00F84257"/>
    <w:rsid w:val="00FD65C1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72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7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13" Type="http://schemas.openxmlformats.org/officeDocument/2006/relationships/hyperlink" Target="http://docs.cntd.ru/document/120006564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4814" TargetMode="External"/><Relationship Id="rId17" Type="http://schemas.openxmlformats.org/officeDocument/2006/relationships/hyperlink" Target="http://docs.cntd.ru/document/120004480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185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19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6604" TargetMode="External"/><Relationship Id="rId10" Type="http://schemas.openxmlformats.org/officeDocument/2006/relationships/hyperlink" Target="http://docs.cntd.ru/document/12000191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5280" TargetMode="External"/><Relationship Id="rId14" Type="http://schemas.openxmlformats.org/officeDocument/2006/relationships/hyperlink" Target="http://docs.cntd.ru/document/1200018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E99C-716D-48B1-88CB-EA992D3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5</cp:revision>
  <cp:lastPrinted>2022-11-30T11:12:00Z</cp:lastPrinted>
  <dcterms:created xsi:type="dcterms:W3CDTF">2022-12-01T13:28:00Z</dcterms:created>
  <dcterms:modified xsi:type="dcterms:W3CDTF">2022-12-01T13:33:00Z</dcterms:modified>
</cp:coreProperties>
</file>