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Default="00C13BAF" w:rsidP="009A4C9B">
      <w:pPr>
        <w:spacing w:after="160" w:line="259" w:lineRule="auto"/>
        <w:jc w:val="both"/>
        <w:rPr>
          <w:b/>
          <w:bCs/>
          <w:kern w:val="1"/>
        </w:rPr>
      </w:pPr>
      <w:r>
        <w:rPr>
          <w:b/>
          <w:bCs/>
          <w:kern w:val="2"/>
        </w:rPr>
        <w:t>Место выполнения работ:</w:t>
      </w:r>
      <w:r w:rsidRPr="00C13BAF">
        <w:t xml:space="preserve"> </w:t>
      </w:r>
      <w:r w:rsidR="004B0A71" w:rsidRPr="000D6C82">
        <w:rPr>
          <w:rFonts w:eastAsia="Andale Sans UI"/>
          <w:kern w:val="2"/>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 xml:space="preserve">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выдача Изделий Получателям в рамках государственного контракта должна быть осуществлена не позднее 30 </w:t>
      </w:r>
      <w:r w:rsidR="00D345B3">
        <w:rPr>
          <w:rFonts w:eastAsia="Andale Sans UI"/>
          <w:kern w:val="2"/>
          <w:lang w:eastAsia="ar-SA"/>
        </w:rPr>
        <w:t>октября</w:t>
      </w:r>
      <w:r w:rsidR="0032596B">
        <w:rPr>
          <w:rFonts w:eastAsia="Andale Sans UI"/>
          <w:kern w:val="2"/>
          <w:lang w:eastAsia="ar-SA"/>
        </w:rPr>
        <w:t xml:space="preserve"> </w:t>
      </w:r>
      <w:r w:rsidR="00F20102" w:rsidRPr="00F20102">
        <w:t>2022</w:t>
      </w:r>
      <w:r w:rsidR="00D345B3">
        <w:t xml:space="preserve"> года</w:t>
      </w:r>
      <w:r w:rsidR="00F20102" w:rsidRPr="00F20102">
        <w:t>.</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86"/>
        <w:gridCol w:w="4902"/>
        <w:gridCol w:w="1617"/>
        <w:gridCol w:w="769"/>
        <w:gridCol w:w="634"/>
      </w:tblGrid>
      <w:tr w:rsidR="00D345B3" w:rsidRPr="0006251B" w:rsidTr="004B0A71">
        <w:trPr>
          <w:trHeight w:val="345"/>
        </w:trPr>
        <w:tc>
          <w:tcPr>
            <w:tcW w:w="238" w:type="pct"/>
            <w:vMerge w:val="restart"/>
            <w:vAlign w:val="center"/>
          </w:tcPr>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w:t>
            </w:r>
          </w:p>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п/п</w:t>
            </w:r>
          </w:p>
        </w:tc>
        <w:tc>
          <w:tcPr>
            <w:tcW w:w="876" w:type="pct"/>
            <w:vMerge w:val="restart"/>
            <w:vAlign w:val="center"/>
          </w:tcPr>
          <w:p w:rsidR="00D345B3" w:rsidRPr="0006251B" w:rsidRDefault="00D345B3" w:rsidP="00A17685">
            <w:pPr>
              <w:widowControl w:val="0"/>
              <w:suppressAutoHyphens/>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 xml:space="preserve">Наименование </w:t>
            </w:r>
          </w:p>
        </w:tc>
        <w:tc>
          <w:tcPr>
            <w:tcW w:w="3197" w:type="pct"/>
            <w:gridSpan w:val="2"/>
          </w:tcPr>
          <w:p w:rsidR="00D345B3" w:rsidRPr="0006251B" w:rsidRDefault="00D345B3" w:rsidP="00A17685">
            <w:pPr>
              <w:widowControl w:val="0"/>
              <w:suppressAutoHyphens/>
              <w:autoSpaceDE w:val="0"/>
              <w:autoSpaceDN w:val="0"/>
              <w:adjustRightInd w:val="0"/>
              <w:jc w:val="center"/>
              <w:rPr>
                <w:rFonts w:eastAsia="Andale Sans UI"/>
                <w:kern w:val="1"/>
                <w:sz w:val="20"/>
                <w:szCs w:val="20"/>
                <w:lang w:eastAsia="ar-SA"/>
              </w:rPr>
            </w:pPr>
            <w:r w:rsidRPr="0006251B">
              <w:rPr>
                <w:rFonts w:eastAsia="Andale Sans UI"/>
                <w:kern w:val="1"/>
                <w:sz w:val="20"/>
                <w:szCs w:val="20"/>
                <w:lang w:eastAsia="ar-SA"/>
              </w:rPr>
              <w:t>Описание (характеристики) объекта закупки</w:t>
            </w:r>
          </w:p>
        </w:tc>
        <w:tc>
          <w:tcPr>
            <w:tcW w:w="377" w:type="pct"/>
            <w:vMerge w:val="restart"/>
            <w:vAlign w:val="center"/>
          </w:tcPr>
          <w:p w:rsidR="00D345B3" w:rsidRPr="0006251B" w:rsidRDefault="00D345B3" w:rsidP="00A17685">
            <w:pPr>
              <w:widowControl w:val="0"/>
              <w:suppressAutoHyphens/>
              <w:autoSpaceDE w:val="0"/>
              <w:autoSpaceDN w:val="0"/>
              <w:adjustRightInd w:val="0"/>
              <w:jc w:val="center"/>
              <w:rPr>
                <w:rFonts w:eastAsia="Lucida Sans Unicode" w:cs="Tahoma"/>
                <w:color w:val="000000"/>
                <w:kern w:val="1"/>
                <w:sz w:val="20"/>
                <w:szCs w:val="20"/>
                <w:lang w:val="en-US" w:eastAsia="en-US" w:bidi="en-US"/>
              </w:rPr>
            </w:pPr>
            <w:r w:rsidRPr="0006251B">
              <w:rPr>
                <w:rFonts w:eastAsia="Lucida Sans Unicode" w:cs="Tahoma"/>
                <w:color w:val="000000"/>
                <w:kern w:val="1"/>
                <w:sz w:val="20"/>
                <w:szCs w:val="20"/>
                <w:lang w:val="en-US" w:eastAsia="en-US" w:bidi="en-US"/>
              </w:rPr>
              <w:t>Ед. изм.</w:t>
            </w:r>
          </w:p>
        </w:tc>
        <w:tc>
          <w:tcPr>
            <w:tcW w:w="311" w:type="pct"/>
            <w:vMerge w:val="restart"/>
          </w:tcPr>
          <w:p w:rsidR="00D345B3" w:rsidRPr="0006251B" w:rsidRDefault="00D345B3" w:rsidP="00A17685">
            <w:pPr>
              <w:widowControl w:val="0"/>
              <w:suppressAutoHyphens/>
              <w:jc w:val="center"/>
              <w:rPr>
                <w:rFonts w:eastAsia="Lucida Sans Unicode" w:cs="Tahoma"/>
                <w:color w:val="000000"/>
                <w:kern w:val="1"/>
                <w:sz w:val="20"/>
                <w:szCs w:val="20"/>
                <w:lang w:eastAsia="en-US" w:bidi="en-US"/>
              </w:rPr>
            </w:pPr>
          </w:p>
          <w:p w:rsidR="00D345B3" w:rsidRPr="0006251B" w:rsidRDefault="00D345B3" w:rsidP="00A17685">
            <w:pPr>
              <w:widowControl w:val="0"/>
              <w:suppressAutoHyphens/>
              <w:jc w:val="center"/>
              <w:rPr>
                <w:rFonts w:eastAsia="Lucida Sans Unicode" w:cs="Tahoma"/>
                <w:color w:val="000000"/>
                <w:kern w:val="1"/>
                <w:sz w:val="20"/>
                <w:szCs w:val="20"/>
                <w:lang w:eastAsia="en-US" w:bidi="en-US"/>
              </w:rPr>
            </w:pPr>
            <w:r w:rsidRPr="0006251B">
              <w:rPr>
                <w:rFonts w:eastAsia="Lucida Sans Unicode" w:cs="Tahoma"/>
                <w:color w:val="000000"/>
                <w:kern w:val="1"/>
                <w:sz w:val="20"/>
                <w:szCs w:val="20"/>
                <w:lang w:eastAsia="en-US" w:bidi="en-US"/>
              </w:rPr>
              <w:t>Кол-во</w:t>
            </w:r>
          </w:p>
        </w:tc>
      </w:tr>
      <w:tr w:rsidR="00D345B3" w:rsidRPr="0006251B" w:rsidTr="004B0A71">
        <w:trPr>
          <w:trHeight w:val="1150"/>
        </w:trPr>
        <w:tc>
          <w:tcPr>
            <w:tcW w:w="238" w:type="pct"/>
            <w:vMerge/>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p>
        </w:tc>
        <w:tc>
          <w:tcPr>
            <w:tcW w:w="876" w:type="pct"/>
            <w:vMerge/>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p>
        </w:tc>
        <w:tc>
          <w:tcPr>
            <w:tcW w:w="2404" w:type="pct"/>
            <w:tcBorders>
              <w:bottom w:val="single" w:sz="4" w:space="0" w:color="auto"/>
            </w:tcBorders>
            <w:vAlign w:val="center"/>
          </w:tcPr>
          <w:p w:rsidR="00D345B3" w:rsidRPr="0006251B" w:rsidRDefault="00D345B3" w:rsidP="00A17685">
            <w:pPr>
              <w:widowControl w:val="0"/>
              <w:suppressAutoHyphens/>
              <w:jc w:val="center"/>
              <w:rPr>
                <w:rFonts w:eastAsia="Andale Sans UI"/>
                <w:kern w:val="1"/>
                <w:sz w:val="20"/>
                <w:szCs w:val="20"/>
                <w:lang w:eastAsia="ar-SA"/>
              </w:rPr>
            </w:pPr>
            <w:r w:rsidRPr="0006251B">
              <w:rPr>
                <w:rFonts w:eastAsia="Andale Sans UI"/>
                <w:kern w:val="1"/>
                <w:sz w:val="20"/>
                <w:szCs w:val="20"/>
                <w:lang w:eastAsia="ar-SA"/>
              </w:rPr>
              <w:t>Наименование показателя</w:t>
            </w:r>
          </w:p>
          <w:p w:rsidR="00D345B3" w:rsidRPr="0006251B" w:rsidRDefault="00D345B3" w:rsidP="00A17685">
            <w:pPr>
              <w:widowControl w:val="0"/>
              <w:suppressAutoHyphens/>
              <w:jc w:val="center"/>
              <w:rPr>
                <w:rFonts w:eastAsia="Andale Sans UI"/>
                <w:color w:val="FF0000"/>
                <w:kern w:val="1"/>
                <w:sz w:val="20"/>
                <w:szCs w:val="20"/>
                <w:lang w:eastAsia="ar-SA"/>
              </w:rPr>
            </w:pPr>
            <w:r w:rsidRPr="0006251B">
              <w:rPr>
                <w:rFonts w:eastAsia="Andale Sans UI"/>
                <w:color w:val="FF0000"/>
                <w:kern w:val="1"/>
                <w:sz w:val="20"/>
                <w:szCs w:val="20"/>
                <w:lang w:eastAsia="ar-SA"/>
              </w:rPr>
              <w:t>(неизменяемое)</w:t>
            </w:r>
          </w:p>
        </w:tc>
        <w:tc>
          <w:tcPr>
            <w:tcW w:w="793" w:type="pct"/>
            <w:tcBorders>
              <w:bottom w:val="single" w:sz="4" w:space="0" w:color="auto"/>
            </w:tcBorders>
            <w:vAlign w:val="center"/>
          </w:tcPr>
          <w:p w:rsidR="00D345B3" w:rsidRPr="0006251B" w:rsidRDefault="00D345B3" w:rsidP="00A17685">
            <w:pPr>
              <w:widowControl w:val="0"/>
              <w:suppressAutoHyphens/>
              <w:autoSpaceDE w:val="0"/>
              <w:autoSpaceDN w:val="0"/>
              <w:adjustRightInd w:val="0"/>
              <w:jc w:val="center"/>
              <w:rPr>
                <w:rFonts w:eastAsia="Andale Sans UI"/>
                <w:kern w:val="1"/>
                <w:sz w:val="20"/>
                <w:szCs w:val="20"/>
                <w:lang w:eastAsia="ar-SA"/>
              </w:rPr>
            </w:pPr>
            <w:r w:rsidRPr="0006251B">
              <w:rPr>
                <w:rFonts w:eastAsia="Andale Sans UI"/>
                <w:kern w:val="1"/>
                <w:sz w:val="20"/>
                <w:szCs w:val="20"/>
                <w:lang w:eastAsia="ar-SA"/>
              </w:rPr>
              <w:t>Значения показателей, которые не могут изменяться</w:t>
            </w:r>
          </w:p>
        </w:tc>
        <w:tc>
          <w:tcPr>
            <w:tcW w:w="377" w:type="pct"/>
            <w:vMerge/>
            <w:tcBorders>
              <w:bottom w:val="single" w:sz="4" w:space="0" w:color="auto"/>
            </w:tcBorders>
          </w:tcPr>
          <w:p w:rsidR="00D345B3" w:rsidRPr="0006251B" w:rsidRDefault="00D345B3" w:rsidP="00A17685">
            <w:pPr>
              <w:widowControl w:val="0"/>
              <w:suppressAutoHyphens/>
              <w:jc w:val="center"/>
              <w:rPr>
                <w:rFonts w:eastAsia="Andale Sans UI"/>
                <w:kern w:val="1"/>
                <w:sz w:val="20"/>
                <w:szCs w:val="20"/>
                <w:lang w:eastAsia="ar-SA"/>
              </w:rPr>
            </w:pPr>
          </w:p>
        </w:tc>
        <w:tc>
          <w:tcPr>
            <w:tcW w:w="311" w:type="pct"/>
            <w:vMerge/>
            <w:tcBorders>
              <w:bottom w:val="single" w:sz="4" w:space="0" w:color="auto"/>
            </w:tcBorders>
          </w:tcPr>
          <w:p w:rsidR="00D345B3" w:rsidRPr="0006251B" w:rsidRDefault="00D345B3" w:rsidP="00A17685">
            <w:pPr>
              <w:widowControl w:val="0"/>
              <w:suppressAutoHyphens/>
              <w:jc w:val="center"/>
              <w:rPr>
                <w:rFonts w:eastAsia="Andale Sans UI"/>
                <w:kern w:val="1"/>
                <w:sz w:val="20"/>
                <w:szCs w:val="20"/>
                <w:lang w:eastAsia="ar-SA"/>
              </w:rPr>
            </w:pPr>
          </w:p>
        </w:tc>
      </w:tr>
      <w:tr w:rsidR="004B0A71" w:rsidRPr="004B0A71" w:rsidTr="004B0A71">
        <w:trPr>
          <w:trHeight w:val="525"/>
        </w:trPr>
        <w:tc>
          <w:tcPr>
            <w:tcW w:w="238" w:type="pct"/>
          </w:tcPr>
          <w:p w:rsidR="004B0A71" w:rsidRPr="004B0A71" w:rsidRDefault="004B0A71" w:rsidP="004B0A71">
            <w:pPr>
              <w:spacing w:after="60"/>
              <w:jc w:val="center"/>
              <w:rPr>
                <w:color w:val="000000"/>
                <w:sz w:val="20"/>
                <w:szCs w:val="20"/>
              </w:rPr>
            </w:pPr>
            <w:r w:rsidRPr="004B0A71">
              <w:rPr>
                <w:color w:val="000000"/>
                <w:sz w:val="20"/>
                <w:szCs w:val="20"/>
              </w:rPr>
              <w:t>1</w:t>
            </w:r>
          </w:p>
        </w:tc>
        <w:tc>
          <w:tcPr>
            <w:tcW w:w="876" w:type="pct"/>
          </w:tcPr>
          <w:p w:rsidR="004B0A71" w:rsidRPr="004B0A71" w:rsidRDefault="004B0A71" w:rsidP="004B0A71">
            <w:pPr>
              <w:rPr>
                <w:sz w:val="20"/>
                <w:szCs w:val="20"/>
              </w:rPr>
            </w:pPr>
            <w:r w:rsidRPr="004B0A71">
              <w:rPr>
                <w:sz w:val="20"/>
                <w:szCs w:val="20"/>
              </w:rPr>
              <w:t>8-09-27 Аппарат на кисть и лучезапястный сустав</w:t>
            </w:r>
          </w:p>
        </w:tc>
        <w:tc>
          <w:tcPr>
            <w:tcW w:w="2404" w:type="pct"/>
          </w:tcPr>
          <w:p w:rsidR="004B0A71" w:rsidRPr="004B0A71" w:rsidRDefault="004B0A71" w:rsidP="004B0A71">
            <w:pPr>
              <w:jc w:val="both"/>
              <w:rPr>
                <w:sz w:val="20"/>
                <w:szCs w:val="20"/>
              </w:rPr>
            </w:pPr>
            <w:r w:rsidRPr="004B0A71">
              <w:rPr>
                <w:sz w:val="20"/>
                <w:szCs w:val="20"/>
              </w:rPr>
              <w:t xml:space="preserve">Аппарат на кисть и лучезапястный сустав состоит из гильз предплечья и кисти с шарнирным соединением на уровне лучезапястного сустава, изготовление по гипсовому слепку или обмерам, гильзы из термопласта, крепление с помощью застежки «контакт». Допускается использование смягчающих элементов.  </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1</w:t>
            </w:r>
          </w:p>
        </w:tc>
      </w:tr>
      <w:tr w:rsidR="004B0A71" w:rsidRPr="004B0A71" w:rsidTr="004B0A71">
        <w:trPr>
          <w:trHeight w:val="383"/>
        </w:trPr>
        <w:tc>
          <w:tcPr>
            <w:tcW w:w="238" w:type="pct"/>
          </w:tcPr>
          <w:p w:rsidR="004B0A71" w:rsidRPr="004B0A71" w:rsidRDefault="004B0A71" w:rsidP="004B0A71">
            <w:pPr>
              <w:spacing w:after="60"/>
              <w:jc w:val="center"/>
              <w:rPr>
                <w:color w:val="000000"/>
                <w:sz w:val="20"/>
                <w:szCs w:val="20"/>
              </w:rPr>
            </w:pPr>
            <w:r w:rsidRPr="004B0A71">
              <w:rPr>
                <w:color w:val="000000"/>
                <w:sz w:val="20"/>
                <w:szCs w:val="20"/>
              </w:rPr>
              <w:t>2</w:t>
            </w:r>
          </w:p>
        </w:tc>
        <w:tc>
          <w:tcPr>
            <w:tcW w:w="876" w:type="pct"/>
          </w:tcPr>
          <w:p w:rsidR="004B0A71" w:rsidRPr="004B0A71" w:rsidRDefault="004B0A71" w:rsidP="004B0A71">
            <w:pPr>
              <w:rPr>
                <w:sz w:val="20"/>
                <w:szCs w:val="20"/>
              </w:rPr>
            </w:pPr>
            <w:r w:rsidRPr="004B0A71">
              <w:rPr>
                <w:sz w:val="20"/>
                <w:szCs w:val="20"/>
              </w:rPr>
              <w:t>8-09-36 Аппарат на всю руку</w:t>
            </w:r>
          </w:p>
        </w:tc>
        <w:tc>
          <w:tcPr>
            <w:tcW w:w="2404" w:type="pct"/>
          </w:tcPr>
          <w:p w:rsidR="004B0A71" w:rsidRPr="004B0A71" w:rsidRDefault="004B0A71" w:rsidP="004B0A71">
            <w:pPr>
              <w:jc w:val="both"/>
              <w:rPr>
                <w:sz w:val="20"/>
                <w:szCs w:val="20"/>
              </w:rPr>
            </w:pPr>
            <w:r w:rsidRPr="004B0A71">
              <w:rPr>
                <w:sz w:val="20"/>
                <w:szCs w:val="20"/>
              </w:rPr>
              <w:t>Аппарат на всю руку, фиксирующий изготавливается по индивидуальным гипсовым слепкам или обмерам с пораженной конечности. Состоит из гильз предплечья, плеча из термопластичных материалов со смягчающим материалом. Гильзы плеча и предплечья соединены шарнирами.  Крепление велкро-петля-контакт.</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2</w:t>
            </w:r>
          </w:p>
        </w:tc>
      </w:tr>
      <w:tr w:rsidR="004B0A71" w:rsidRPr="004B0A71" w:rsidTr="004B0A71">
        <w:trPr>
          <w:trHeight w:val="984"/>
        </w:trPr>
        <w:tc>
          <w:tcPr>
            <w:tcW w:w="238" w:type="pct"/>
          </w:tcPr>
          <w:p w:rsidR="004B0A71" w:rsidRPr="004B0A71" w:rsidRDefault="004B0A71" w:rsidP="004B0A71">
            <w:pPr>
              <w:suppressAutoHyphens/>
              <w:spacing w:after="60"/>
              <w:jc w:val="center"/>
              <w:rPr>
                <w:rFonts w:eastAsia="Andale Sans UI"/>
                <w:kern w:val="1"/>
                <w:sz w:val="20"/>
                <w:szCs w:val="20"/>
                <w:lang w:eastAsia="ar-SA"/>
              </w:rPr>
            </w:pPr>
            <w:r w:rsidRPr="004B0A71">
              <w:rPr>
                <w:color w:val="000000"/>
                <w:sz w:val="20"/>
                <w:szCs w:val="20"/>
              </w:rPr>
              <w:t>3</w:t>
            </w:r>
          </w:p>
        </w:tc>
        <w:tc>
          <w:tcPr>
            <w:tcW w:w="876" w:type="pct"/>
          </w:tcPr>
          <w:p w:rsidR="004B0A71" w:rsidRPr="004B0A71" w:rsidRDefault="004B0A71" w:rsidP="004B0A71">
            <w:pPr>
              <w:rPr>
                <w:sz w:val="20"/>
                <w:szCs w:val="20"/>
              </w:rPr>
            </w:pPr>
            <w:r w:rsidRPr="004B0A71">
              <w:rPr>
                <w:sz w:val="20"/>
                <w:szCs w:val="20"/>
              </w:rPr>
              <w:t>8-09-42 Аппарат на всю ногу</w:t>
            </w:r>
          </w:p>
        </w:tc>
        <w:tc>
          <w:tcPr>
            <w:tcW w:w="2404" w:type="pct"/>
          </w:tcPr>
          <w:p w:rsidR="004B0A71" w:rsidRPr="004B0A71" w:rsidRDefault="004B0A71" w:rsidP="004B0A71">
            <w:pPr>
              <w:jc w:val="both"/>
              <w:rPr>
                <w:sz w:val="20"/>
                <w:szCs w:val="20"/>
              </w:rPr>
            </w:pPr>
            <w:r w:rsidRPr="004B0A71">
              <w:rPr>
                <w:sz w:val="20"/>
                <w:szCs w:val="20"/>
              </w:rPr>
              <w:t>Аппарат на всю ногу без косметической оболочки, приемная гильза индивидуальная (изготавливается по индивидуальному слепку с конечности инвалида), одна пробная приемная гильза, материал – термопластичный пластик, нательный вкладыш из вспененных материалов, подвижные в сагиттальной плоскости металлические шарниры на уровне голеностопного и коленного суставов, шины прямоугольного сечения.</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8</w:t>
            </w:r>
          </w:p>
        </w:tc>
      </w:tr>
      <w:tr w:rsidR="004B0A71" w:rsidRPr="004B0A71" w:rsidTr="004B0A71">
        <w:trPr>
          <w:trHeight w:val="984"/>
        </w:trPr>
        <w:tc>
          <w:tcPr>
            <w:tcW w:w="238" w:type="pct"/>
          </w:tcPr>
          <w:p w:rsidR="004B0A71" w:rsidRPr="004B0A71" w:rsidRDefault="004B0A71" w:rsidP="004B0A71">
            <w:pPr>
              <w:suppressAutoHyphens/>
              <w:spacing w:after="60"/>
              <w:jc w:val="center"/>
              <w:rPr>
                <w:color w:val="000000"/>
                <w:sz w:val="20"/>
                <w:szCs w:val="20"/>
              </w:rPr>
            </w:pPr>
            <w:r w:rsidRPr="004B0A71">
              <w:rPr>
                <w:color w:val="000000"/>
                <w:sz w:val="20"/>
                <w:szCs w:val="20"/>
              </w:rPr>
              <w:t>4</w:t>
            </w:r>
          </w:p>
        </w:tc>
        <w:tc>
          <w:tcPr>
            <w:tcW w:w="876" w:type="pct"/>
          </w:tcPr>
          <w:p w:rsidR="004B0A71" w:rsidRPr="004B0A71" w:rsidRDefault="004B0A71" w:rsidP="004B0A71">
            <w:pPr>
              <w:rPr>
                <w:sz w:val="20"/>
                <w:szCs w:val="20"/>
              </w:rPr>
            </w:pPr>
            <w:r w:rsidRPr="004B0A71">
              <w:rPr>
                <w:sz w:val="20"/>
                <w:szCs w:val="20"/>
              </w:rPr>
              <w:t>8-09-39 Аппарат на коленный сустав</w:t>
            </w:r>
          </w:p>
        </w:tc>
        <w:tc>
          <w:tcPr>
            <w:tcW w:w="2404" w:type="pct"/>
          </w:tcPr>
          <w:p w:rsidR="004B0A71" w:rsidRPr="004B0A71" w:rsidRDefault="004B0A71" w:rsidP="004B0A71">
            <w:pPr>
              <w:jc w:val="both"/>
              <w:rPr>
                <w:sz w:val="20"/>
                <w:szCs w:val="20"/>
              </w:rPr>
            </w:pPr>
            <w:r w:rsidRPr="004B0A71">
              <w:rPr>
                <w:sz w:val="20"/>
                <w:szCs w:val="20"/>
              </w:rPr>
              <w:t xml:space="preserve">Аппарат на коленный сустав без косметической оболочки, приемная гильза индивидуальная (изготавливается по индивидуальному слепку с конечности инвалида), одна пробная приемная гильза, материал – термопластичный пластик, нательный вкладыш из вспененных материалов, подвижные в сагиттальной плоскости металлические шарниры на уровне коленного сустава.  </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8</w:t>
            </w:r>
          </w:p>
        </w:tc>
      </w:tr>
      <w:tr w:rsidR="004B0A71" w:rsidRPr="004B0A71" w:rsidTr="004B0A71">
        <w:trPr>
          <w:trHeight w:val="699"/>
        </w:trPr>
        <w:tc>
          <w:tcPr>
            <w:tcW w:w="238" w:type="pct"/>
          </w:tcPr>
          <w:p w:rsidR="004B0A71" w:rsidRPr="004B0A71" w:rsidRDefault="004B0A71" w:rsidP="004B0A71">
            <w:pPr>
              <w:suppressAutoHyphens/>
              <w:spacing w:after="60"/>
              <w:jc w:val="center"/>
              <w:rPr>
                <w:color w:val="000000"/>
                <w:sz w:val="20"/>
                <w:szCs w:val="20"/>
              </w:rPr>
            </w:pPr>
            <w:r w:rsidRPr="004B0A71">
              <w:rPr>
                <w:color w:val="000000"/>
                <w:sz w:val="20"/>
                <w:szCs w:val="20"/>
              </w:rPr>
              <w:t>5</w:t>
            </w:r>
          </w:p>
        </w:tc>
        <w:tc>
          <w:tcPr>
            <w:tcW w:w="876" w:type="pct"/>
          </w:tcPr>
          <w:p w:rsidR="004B0A71" w:rsidRPr="004B0A71" w:rsidRDefault="004B0A71" w:rsidP="004B0A71">
            <w:pPr>
              <w:rPr>
                <w:sz w:val="20"/>
                <w:szCs w:val="20"/>
              </w:rPr>
            </w:pPr>
            <w:r w:rsidRPr="004B0A71">
              <w:rPr>
                <w:sz w:val="20"/>
                <w:szCs w:val="20"/>
              </w:rPr>
              <w:t>8-09-40 Аппарат на тазобедренный сустав</w:t>
            </w:r>
          </w:p>
        </w:tc>
        <w:tc>
          <w:tcPr>
            <w:tcW w:w="2404" w:type="pct"/>
          </w:tcPr>
          <w:p w:rsidR="004B0A71" w:rsidRPr="004B0A71" w:rsidRDefault="004B0A71" w:rsidP="004B0A71">
            <w:pPr>
              <w:jc w:val="both"/>
              <w:rPr>
                <w:sz w:val="20"/>
                <w:szCs w:val="20"/>
              </w:rPr>
            </w:pPr>
            <w:r w:rsidRPr="004B0A71">
              <w:rPr>
                <w:sz w:val="20"/>
                <w:szCs w:val="20"/>
              </w:rPr>
              <w:t>Аппарат на тазобедренный сустав  без косметической оболочки изготавливается по индивидуальному слепку, одна пробная приемная гильза, термопластичный материал, нательный вкладыш из вспененных материалов, Представляет собой конструкцию, состоящую из двух гильз. Гильзы бедра и тазобедренного сустава, соединенных между собой посредством шин прямоугольного сечения с подвижным в сагиттальной плоскости шарниром.</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3</w:t>
            </w:r>
          </w:p>
        </w:tc>
      </w:tr>
      <w:tr w:rsidR="004B0A71" w:rsidRPr="004B0A71" w:rsidTr="004B0A71">
        <w:trPr>
          <w:trHeight w:val="984"/>
        </w:trPr>
        <w:tc>
          <w:tcPr>
            <w:tcW w:w="238" w:type="pct"/>
          </w:tcPr>
          <w:p w:rsidR="004B0A71" w:rsidRPr="004B0A71" w:rsidRDefault="004B0A71" w:rsidP="004B0A71">
            <w:pPr>
              <w:suppressAutoHyphens/>
              <w:spacing w:after="60"/>
              <w:jc w:val="center"/>
              <w:rPr>
                <w:color w:val="000000"/>
                <w:sz w:val="20"/>
                <w:szCs w:val="20"/>
              </w:rPr>
            </w:pPr>
            <w:r w:rsidRPr="004B0A71">
              <w:rPr>
                <w:color w:val="000000"/>
                <w:sz w:val="20"/>
                <w:szCs w:val="20"/>
              </w:rPr>
              <w:t>6</w:t>
            </w:r>
          </w:p>
        </w:tc>
        <w:tc>
          <w:tcPr>
            <w:tcW w:w="876" w:type="pct"/>
          </w:tcPr>
          <w:p w:rsidR="004B0A71" w:rsidRPr="004B0A71" w:rsidRDefault="004B0A71" w:rsidP="004B0A71">
            <w:pPr>
              <w:rPr>
                <w:sz w:val="20"/>
                <w:szCs w:val="20"/>
              </w:rPr>
            </w:pPr>
            <w:r w:rsidRPr="004B0A71">
              <w:rPr>
                <w:sz w:val="20"/>
                <w:szCs w:val="20"/>
              </w:rPr>
              <w:t>8-09-37 Аппарат на голеностопный сустав</w:t>
            </w:r>
          </w:p>
        </w:tc>
        <w:tc>
          <w:tcPr>
            <w:tcW w:w="2404" w:type="pct"/>
          </w:tcPr>
          <w:p w:rsidR="004B0A71" w:rsidRPr="004B0A71" w:rsidRDefault="004B0A71" w:rsidP="004B0A71">
            <w:pPr>
              <w:jc w:val="both"/>
              <w:rPr>
                <w:sz w:val="20"/>
                <w:szCs w:val="20"/>
              </w:rPr>
            </w:pPr>
            <w:r w:rsidRPr="004B0A71">
              <w:rPr>
                <w:sz w:val="20"/>
                <w:szCs w:val="20"/>
              </w:rPr>
              <w:t>Аппарат на голеностопный сустав, без косметической оболочки, приемная гильза индивидуальная (изготавливается по индивидуальному слепку с конечности инвалида), одна пробная приемная гильза, материал – термопластичный пластик, нательный вкладыш из вспененных материалов, подвижные в сагиттальной плоскости металлические шарниры на уровне голеностопного сустава.</w:t>
            </w:r>
          </w:p>
        </w:tc>
        <w:tc>
          <w:tcPr>
            <w:tcW w:w="793" w:type="pct"/>
          </w:tcPr>
          <w:p w:rsidR="004B0A71" w:rsidRPr="004B0A71" w:rsidRDefault="004B0A71" w:rsidP="004B0A71">
            <w:pPr>
              <w:spacing w:after="60"/>
              <w:jc w:val="center"/>
              <w:rPr>
                <w:sz w:val="20"/>
                <w:szCs w:val="20"/>
              </w:rPr>
            </w:pPr>
            <w:r w:rsidRPr="004B0A71">
              <w:rPr>
                <w:sz w:val="20"/>
                <w:szCs w:val="20"/>
              </w:rPr>
              <w:t>Соответствует</w:t>
            </w:r>
          </w:p>
        </w:tc>
        <w:tc>
          <w:tcPr>
            <w:tcW w:w="377" w:type="pct"/>
          </w:tcPr>
          <w:p w:rsidR="004B0A71" w:rsidRPr="004B0A71" w:rsidRDefault="004B0A71" w:rsidP="004B0A71">
            <w:pPr>
              <w:autoSpaceDE w:val="0"/>
              <w:autoSpaceDN w:val="0"/>
              <w:adjustRightInd w:val="0"/>
              <w:rPr>
                <w:sz w:val="20"/>
                <w:szCs w:val="20"/>
              </w:rPr>
            </w:pPr>
            <w:r w:rsidRPr="004B0A71">
              <w:rPr>
                <w:sz w:val="20"/>
                <w:szCs w:val="20"/>
              </w:rPr>
              <w:t>Шт.</w:t>
            </w:r>
          </w:p>
        </w:tc>
        <w:tc>
          <w:tcPr>
            <w:tcW w:w="311" w:type="pct"/>
          </w:tcPr>
          <w:p w:rsidR="004B0A71" w:rsidRPr="004B0A71" w:rsidRDefault="004B0A71" w:rsidP="004B0A71">
            <w:pPr>
              <w:autoSpaceDE w:val="0"/>
              <w:autoSpaceDN w:val="0"/>
              <w:adjustRightInd w:val="0"/>
              <w:jc w:val="center"/>
              <w:rPr>
                <w:sz w:val="20"/>
                <w:szCs w:val="20"/>
              </w:rPr>
            </w:pPr>
            <w:r w:rsidRPr="004B0A71">
              <w:rPr>
                <w:sz w:val="20"/>
                <w:szCs w:val="20"/>
              </w:rPr>
              <w:t>12</w:t>
            </w:r>
          </w:p>
        </w:tc>
      </w:tr>
    </w:tbl>
    <w:p w:rsidR="00D345B3" w:rsidRDefault="00D345B3" w:rsidP="00D345B3">
      <w:pPr>
        <w:autoSpaceDE w:val="0"/>
        <w:autoSpaceDN w:val="0"/>
        <w:adjustRightInd w:val="0"/>
        <w:ind w:firstLine="540"/>
        <w:jc w:val="both"/>
        <w:rPr>
          <w:sz w:val="26"/>
          <w:szCs w:val="26"/>
        </w:rPr>
      </w:pPr>
    </w:p>
    <w:p w:rsidR="004B0A71" w:rsidRPr="004B0A71" w:rsidRDefault="004B0A71" w:rsidP="004B0A71">
      <w:pPr>
        <w:jc w:val="both"/>
      </w:pPr>
      <w:r w:rsidRPr="004B0A71">
        <w:t>Соответствие ГОСТа: ГОСТ ISO 10993-1-2021 «Межгосударственный</w:t>
      </w:r>
    </w:p>
    <w:p w:rsidR="004B0A71" w:rsidRPr="004B0A71" w:rsidRDefault="004B0A71" w:rsidP="004B0A71">
      <w:pPr>
        <w:jc w:val="both"/>
      </w:pPr>
      <w:r w:rsidRPr="004B0A71">
        <w:t>стандарт. Изделия медицинские. Оценка биологического действия медицинских</w:t>
      </w:r>
    </w:p>
    <w:p w:rsidR="004B0A71" w:rsidRPr="004B0A71" w:rsidRDefault="004B0A71" w:rsidP="004B0A71">
      <w:pPr>
        <w:jc w:val="both"/>
      </w:pPr>
      <w:r w:rsidRPr="004B0A71">
        <w:t>изделий.», ГОСТ ISO 10993-5-2011 «Межгосударственный стандарт. Изделия</w:t>
      </w:r>
    </w:p>
    <w:p w:rsidR="004B0A71" w:rsidRPr="004B0A71" w:rsidRDefault="004B0A71" w:rsidP="004B0A71">
      <w:pPr>
        <w:jc w:val="both"/>
      </w:pPr>
      <w:r w:rsidRPr="004B0A71">
        <w:t>медицинские. Оценка биологического действия медицинских изделий. Часть 5.</w:t>
      </w:r>
    </w:p>
    <w:p w:rsidR="004B0A71" w:rsidRPr="004B0A71" w:rsidRDefault="004B0A71" w:rsidP="004B0A71">
      <w:pPr>
        <w:jc w:val="both"/>
      </w:pPr>
      <w:r w:rsidRPr="004B0A71">
        <w:t>Исследования на цитотоксичность: методы in vitro», ГОСТ ISO 10993-10-2011</w:t>
      </w:r>
    </w:p>
    <w:p w:rsidR="004B0A71" w:rsidRPr="004B0A71" w:rsidRDefault="004B0A71" w:rsidP="004B0A71">
      <w:pPr>
        <w:jc w:val="both"/>
      </w:pPr>
      <w:r w:rsidRPr="004B0A71">
        <w:t>«Межгосударственный стандарт. Изделия медицинские. Оценка биологического</w:t>
      </w:r>
    </w:p>
    <w:p w:rsidR="004B0A71" w:rsidRPr="004B0A71" w:rsidRDefault="004B0A71" w:rsidP="004B0A71">
      <w:pPr>
        <w:jc w:val="both"/>
      </w:pPr>
      <w:r w:rsidRPr="004B0A71">
        <w:t>действия медицинских изделий. Часть 10. Исследование раздражающего и</w:t>
      </w:r>
    </w:p>
    <w:p w:rsidR="004B0A71" w:rsidRPr="004B0A71" w:rsidRDefault="004B0A71" w:rsidP="004B0A71">
      <w:pPr>
        <w:jc w:val="both"/>
      </w:pPr>
      <w:r w:rsidRPr="004B0A71">
        <w:t>сенсибилизирующего действия», ГОСТ Р 52770-2016 «Изделия медицинские»</w:t>
      </w:r>
    </w:p>
    <w:p w:rsidR="004B0A71" w:rsidRPr="004B0A71" w:rsidRDefault="004B0A71" w:rsidP="004B0A71">
      <w:pPr>
        <w:jc w:val="both"/>
      </w:pPr>
      <w:r w:rsidRPr="004B0A71">
        <w:t xml:space="preserve">п.4. </w:t>
      </w:r>
      <w:bookmarkStart w:id="0" w:name="_GoBack"/>
      <w:bookmarkEnd w:id="0"/>
      <w:r w:rsidRPr="004B0A71">
        <w:t>Общие положения.</w:t>
      </w:r>
    </w:p>
    <w:sectPr w:rsidR="004B0A71" w:rsidRPr="004B0A71"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69" w:rsidRDefault="00B05869" w:rsidP="00D7115C">
      <w:r>
        <w:separator/>
      </w:r>
    </w:p>
  </w:endnote>
  <w:endnote w:type="continuationSeparator" w:id="0">
    <w:p w:rsidR="00B05869" w:rsidRDefault="00B0586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69" w:rsidRDefault="00B05869" w:rsidP="00D7115C">
      <w:r>
        <w:separator/>
      </w:r>
    </w:p>
  </w:footnote>
  <w:footnote w:type="continuationSeparator" w:id="0">
    <w:p w:rsidR="00B05869" w:rsidRDefault="00B05869"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81CF7"/>
    <w:rsid w:val="00195EEB"/>
    <w:rsid w:val="001A1B23"/>
    <w:rsid w:val="001C1494"/>
    <w:rsid w:val="00251D72"/>
    <w:rsid w:val="00292377"/>
    <w:rsid w:val="00310864"/>
    <w:rsid w:val="003210F2"/>
    <w:rsid w:val="0032596B"/>
    <w:rsid w:val="003322AA"/>
    <w:rsid w:val="00333A18"/>
    <w:rsid w:val="003C0632"/>
    <w:rsid w:val="003D486E"/>
    <w:rsid w:val="003E36EE"/>
    <w:rsid w:val="00427C62"/>
    <w:rsid w:val="00457089"/>
    <w:rsid w:val="004667AA"/>
    <w:rsid w:val="004B058A"/>
    <w:rsid w:val="004B0A71"/>
    <w:rsid w:val="004C04C5"/>
    <w:rsid w:val="004C1D05"/>
    <w:rsid w:val="004D497F"/>
    <w:rsid w:val="004F2140"/>
    <w:rsid w:val="0054353B"/>
    <w:rsid w:val="00585EDA"/>
    <w:rsid w:val="005935A0"/>
    <w:rsid w:val="005D4418"/>
    <w:rsid w:val="005F2386"/>
    <w:rsid w:val="0064079A"/>
    <w:rsid w:val="006748AA"/>
    <w:rsid w:val="006D6FCA"/>
    <w:rsid w:val="006F603A"/>
    <w:rsid w:val="007214BD"/>
    <w:rsid w:val="007670F9"/>
    <w:rsid w:val="007A0C01"/>
    <w:rsid w:val="007C105E"/>
    <w:rsid w:val="007F2A0B"/>
    <w:rsid w:val="00812F5F"/>
    <w:rsid w:val="00842A50"/>
    <w:rsid w:val="00852E8C"/>
    <w:rsid w:val="00896D3D"/>
    <w:rsid w:val="008A00DE"/>
    <w:rsid w:val="008A35F0"/>
    <w:rsid w:val="008D1CE7"/>
    <w:rsid w:val="009226AD"/>
    <w:rsid w:val="009277FE"/>
    <w:rsid w:val="009A4C9B"/>
    <w:rsid w:val="009C26AF"/>
    <w:rsid w:val="00A10A2B"/>
    <w:rsid w:val="00A244B5"/>
    <w:rsid w:val="00A520C7"/>
    <w:rsid w:val="00A54B05"/>
    <w:rsid w:val="00A978CB"/>
    <w:rsid w:val="00AC04AF"/>
    <w:rsid w:val="00AD58F0"/>
    <w:rsid w:val="00B05869"/>
    <w:rsid w:val="00B201AE"/>
    <w:rsid w:val="00B45B9E"/>
    <w:rsid w:val="00B63052"/>
    <w:rsid w:val="00BB7977"/>
    <w:rsid w:val="00BD0B4D"/>
    <w:rsid w:val="00BE167F"/>
    <w:rsid w:val="00C13BAF"/>
    <w:rsid w:val="00C1613C"/>
    <w:rsid w:val="00C937D4"/>
    <w:rsid w:val="00CA3011"/>
    <w:rsid w:val="00CA4582"/>
    <w:rsid w:val="00CB0C96"/>
    <w:rsid w:val="00CB473D"/>
    <w:rsid w:val="00CC1AB3"/>
    <w:rsid w:val="00CE28E3"/>
    <w:rsid w:val="00CF1971"/>
    <w:rsid w:val="00D01082"/>
    <w:rsid w:val="00D20ED9"/>
    <w:rsid w:val="00D345B3"/>
    <w:rsid w:val="00D7115C"/>
    <w:rsid w:val="00D8164D"/>
    <w:rsid w:val="00D865A8"/>
    <w:rsid w:val="00DB3240"/>
    <w:rsid w:val="00DC4D5C"/>
    <w:rsid w:val="00E35808"/>
    <w:rsid w:val="00E46D81"/>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57</cp:revision>
  <dcterms:created xsi:type="dcterms:W3CDTF">2020-08-12T05:43:00Z</dcterms:created>
  <dcterms:modified xsi:type="dcterms:W3CDTF">2022-05-25T04:58:00Z</dcterms:modified>
</cp:coreProperties>
</file>