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B" w:rsidRDefault="00987F7B" w:rsidP="001B2715">
      <w:pPr>
        <w:ind w:firstLine="360"/>
        <w:jc w:val="center"/>
        <w:rPr>
          <w:b/>
          <w:bCs/>
        </w:rPr>
      </w:pPr>
      <w:r>
        <w:rPr>
          <w:b/>
        </w:rPr>
        <w:t xml:space="preserve">ОПИСАНИЕ ОБЪЕКТА ЗАКУПКИ 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со статьей 33 Закона</w:t>
      </w:r>
    </w:p>
    <w:p w:rsidR="001B2715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</w:t>
      </w:r>
      <w:r w:rsidR="00C51EBE">
        <w:rPr>
          <w:b/>
          <w:bCs/>
        </w:rPr>
        <w:t>изготовлению</w:t>
      </w:r>
      <w:r>
        <w:rPr>
          <w:b/>
          <w:bCs/>
        </w:rPr>
        <w:t xml:space="preserve"> протез</w:t>
      </w:r>
      <w:r w:rsidR="00C51EBE">
        <w:rPr>
          <w:b/>
          <w:bCs/>
        </w:rPr>
        <w:t>ов</w:t>
      </w:r>
      <w:r>
        <w:rPr>
          <w:b/>
          <w:bCs/>
        </w:rPr>
        <w:t xml:space="preserve"> нижних конечностей</w:t>
      </w:r>
      <w:r w:rsidR="00C51EBE">
        <w:rPr>
          <w:b/>
          <w:bCs/>
        </w:rPr>
        <w:t xml:space="preserve"> для обеспечения</w:t>
      </w:r>
      <w:r>
        <w:rPr>
          <w:b/>
          <w:bCs/>
        </w:rPr>
        <w:t xml:space="preserve"> застрахованных лиц, пострадавших вследствие несчастных случаев на производстве</w:t>
      </w:r>
      <w:r w:rsidR="00964241">
        <w:rPr>
          <w:b/>
          <w:bCs/>
        </w:rPr>
        <w:t xml:space="preserve"> и профессиональных заболеваний</w:t>
      </w:r>
      <w:r>
        <w:rPr>
          <w:b/>
          <w:bCs/>
        </w:rPr>
        <w:t>, в 202</w:t>
      </w:r>
      <w:r w:rsidR="00122BAF" w:rsidRPr="00122BAF">
        <w:rPr>
          <w:b/>
          <w:bCs/>
        </w:rPr>
        <w:t>3</w:t>
      </w:r>
      <w:r>
        <w:rPr>
          <w:b/>
          <w:bCs/>
        </w:rPr>
        <w:t xml:space="preserve"> году.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122BAF" w:rsidRDefault="00122BAF" w:rsidP="00122BA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Протез конечности (изготовленное по индивидуальному заказу изделие- 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Выполнение работ по обеспечению Изделием включает прием заказа, изготовление, примерку, подгонку, обучение пользованию и выдачу Изделия Получателю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122BAF" w:rsidRDefault="00122BAF" w:rsidP="00122BA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Изделие должно изготавливаться индивидуально с учетом анатомических дефектов нижней конечности,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122BAF" w:rsidRDefault="00122BAF" w:rsidP="00122B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BAF" w:rsidRDefault="00122BAF" w:rsidP="00122BAF">
      <w:pPr>
        <w:keepNext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на ГОСТ – </w:t>
      </w:r>
      <w:r>
        <w:rPr>
          <w:b/>
          <w:bCs/>
          <w:i/>
          <w:sz w:val="20"/>
          <w:szCs w:val="20"/>
          <w:u w:val="single"/>
        </w:rPr>
        <w:t>НЕ ИЗМЕНЯЮТСЯ</w:t>
      </w:r>
      <w:r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ab/>
      </w:r>
    </w:p>
    <w:p w:rsidR="00122BAF" w:rsidRDefault="00122BAF" w:rsidP="00122BAF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Изделие изготавливается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 соответствии с ГОСТ Р 53869-2021 «Протезы нижних конечностей. Технические требования».</w:t>
      </w: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В ГОСТе Р 53869-2021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в следующих разделах:</w:t>
      </w: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 5 «Общие требования» (ГОСТ Р 51191-2019 «Узлы протезов нижних конечностей. Технические требования и методы испытаний») (далее - ГОСТ 51191);</w:t>
      </w: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 8 «Конструктивные требования», п 8.1 «Общие требования» (</w:t>
      </w:r>
      <w:r>
        <w:rPr>
          <w:sz w:val="20"/>
          <w:szCs w:val="20"/>
        </w:rPr>
        <w:t>ГОСТ 1904-81 «Кожа шорно-седельная. Технические условия») (далее - ГОСТ 1904);</w:t>
      </w:r>
    </w:p>
    <w:p w:rsidR="00122BAF" w:rsidRDefault="00122BAF" w:rsidP="00122BAF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Раздел 9 «</w:t>
      </w:r>
      <w:r>
        <w:rPr>
          <w:b w:val="0"/>
          <w:sz w:val="20"/>
          <w:szCs w:val="20"/>
        </w:rPr>
        <w:t>Требования к материалам</w:t>
      </w:r>
      <w:r>
        <w:rPr>
          <w:b w:val="0"/>
          <w:bCs w:val="0"/>
          <w:sz w:val="20"/>
          <w:szCs w:val="20"/>
        </w:rPr>
        <w:t>» (</w:t>
      </w:r>
      <w:r>
        <w:rPr>
          <w:b w:val="0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требования) (далее - ГОСТ 9.301).</w:t>
      </w: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</w:p>
    <w:p w:rsidR="00122BAF" w:rsidRDefault="00122BAF" w:rsidP="00122BAF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Согласно ГОСТ Р 53869-2021 «Протезы нижних конечностей. Технические требования» к Изделиям предъявляются требования в следующей части (ссылка):</w:t>
      </w:r>
    </w:p>
    <w:p w:rsidR="00122BAF" w:rsidRDefault="00122BAF" w:rsidP="00122BAF">
      <w:pPr>
        <w:rPr>
          <w:sz w:val="20"/>
          <w:szCs w:val="20"/>
        </w:rPr>
      </w:pPr>
      <w:r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122BAF" w:rsidRDefault="00122BAF" w:rsidP="00122BAF">
      <w:pPr>
        <w:rPr>
          <w:sz w:val="20"/>
          <w:szCs w:val="20"/>
        </w:rPr>
      </w:pPr>
      <w:r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8" w:history="1">
        <w:r>
          <w:rPr>
            <w:rStyle w:val="ab"/>
          </w:rPr>
          <w:t>ГОСТ Р 51191</w:t>
        </w:r>
      </w:hyperlink>
      <w:r>
        <w:rPr>
          <w:sz w:val="20"/>
          <w:szCs w:val="20"/>
        </w:rPr>
        <w:t>, с учетом предельной массы тела и активности пользователя.»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а) возможность находиться пользователю в следующих основных положениях: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стояния,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сидения,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приседания;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возможность ходьбы: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ровной поверхности в ускоренном темпе,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лестнице вверх и вниз,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пересеченной местности;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9" w:history="1">
        <w:r>
          <w:rPr>
            <w:rStyle w:val="ab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;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10" w:history="1">
        <w:r>
          <w:rPr>
            <w:rStyle w:val="ab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8.1.4.4 На внутренней поверхности гильз не должно быть неровностей, морщин, складок, </w:t>
      </w:r>
      <w:proofErr w:type="spellStart"/>
      <w:r>
        <w:rPr>
          <w:rFonts w:eastAsia="Calibri"/>
          <w:sz w:val="20"/>
          <w:szCs w:val="20"/>
        </w:rPr>
        <w:t>заминов</w:t>
      </w:r>
      <w:proofErr w:type="spellEnd"/>
      <w:r>
        <w:rPr>
          <w:rFonts w:eastAsia="Calibri"/>
          <w:sz w:val="20"/>
          <w:szCs w:val="20"/>
        </w:rPr>
        <w:t>, отслоений смягчающей подкладки.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8.1.4.5 Приемные несущие гильзы могут быть </w:t>
      </w:r>
      <w:proofErr w:type="spellStart"/>
      <w:r>
        <w:rPr>
          <w:rFonts w:eastAsia="Calibri"/>
          <w:sz w:val="20"/>
          <w:szCs w:val="20"/>
        </w:rPr>
        <w:t>полноконтактными</w:t>
      </w:r>
      <w:proofErr w:type="spellEnd"/>
      <w:r>
        <w:rPr>
          <w:rFonts w:eastAsia="Calibri"/>
          <w:sz w:val="20"/>
          <w:szCs w:val="20"/>
        </w:rPr>
        <w:t xml:space="preserve"> и </w:t>
      </w:r>
      <w:proofErr w:type="spellStart"/>
      <w:r>
        <w:rPr>
          <w:rFonts w:eastAsia="Calibri"/>
          <w:sz w:val="20"/>
          <w:szCs w:val="20"/>
        </w:rPr>
        <w:t>скелетированными</w:t>
      </w:r>
      <w:proofErr w:type="spellEnd"/>
      <w:r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122BAF" w:rsidRDefault="00122BAF" w:rsidP="00122B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>
        <w:rPr>
          <w:rFonts w:eastAsia="Calibri"/>
          <w:sz w:val="20"/>
          <w:szCs w:val="20"/>
        </w:rPr>
        <w:t>тянок</w:t>
      </w:r>
      <w:proofErr w:type="spellEnd"/>
      <w:r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>
        <w:rPr>
          <w:sz w:val="20"/>
          <w:szCs w:val="20"/>
        </w:rPr>
        <w:t>коррозионно-стойких</w:t>
      </w:r>
      <w:proofErr w:type="gramEnd"/>
      <w:r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1" w:history="1">
        <w:r>
          <w:rPr>
            <w:rStyle w:val="ab"/>
          </w:rPr>
          <w:t>ГОСТ 9.301</w:t>
        </w:r>
      </w:hyperlink>
      <w:r>
        <w:rPr>
          <w:sz w:val="20"/>
          <w:szCs w:val="20"/>
        </w:rPr>
        <w:t>.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>
        <w:rPr>
          <w:sz w:val="20"/>
          <w:szCs w:val="20"/>
        </w:rPr>
        <w:t>подформовку</w:t>
      </w:r>
      <w:proofErr w:type="spellEnd"/>
      <w:r>
        <w:rPr>
          <w:sz w:val="20"/>
          <w:szCs w:val="20"/>
        </w:rPr>
        <w:t>).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9.6 Материалы приемных гильз не должны деформироваться в процессе эксплуатации протеза.»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>
        <w:rPr>
          <w:sz w:val="20"/>
          <w:szCs w:val="20"/>
        </w:rPr>
        <w:t>10.1 В комплект поставки протеза должны входить: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-протез;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протеза).»</w:t>
      </w:r>
    </w:p>
    <w:p w:rsidR="00122BAF" w:rsidRDefault="00122BAF" w:rsidP="00122BAF">
      <w:pPr>
        <w:jc w:val="both"/>
        <w:rPr>
          <w:bCs/>
          <w:sz w:val="20"/>
          <w:szCs w:val="20"/>
        </w:rPr>
      </w:pP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маркировке и упаковке Изделия предъявляются требования в соответствии с ГОСТ Р 53869-2021 «Протезы нижних конечностей. Технические требования» со ссылками на следующие стандарты: 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ГОСТ Р ИСО 22523-2007 «Протезы конечностей и </w:t>
      </w:r>
      <w:proofErr w:type="spellStart"/>
      <w:r>
        <w:rPr>
          <w:bCs/>
          <w:sz w:val="20"/>
          <w:szCs w:val="20"/>
        </w:rPr>
        <w:t>ортезы</w:t>
      </w:r>
      <w:proofErr w:type="spellEnd"/>
      <w:r>
        <w:rPr>
          <w:bCs/>
          <w:sz w:val="20"/>
          <w:szCs w:val="20"/>
        </w:rPr>
        <w:t xml:space="preserve"> наружные. Требования и методы испытаний» (далее – ГОСТ 22523);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8273-75 «Бумага оберточная. Технические условия» (далее – ГОСТ 8273);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10354-82 «Пленка полиэтиленовая. Технические условия » (далее – ГОСТ 10354);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7933-89 «Картон для потребительской тары. Общие технические условия» (далее – ГОСТ 7933);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29298-2005 «Ткани хлопчатобумажные и смешанные бытовые. Общие технические условия» (далее – ГОСТ 29298).</w:t>
      </w:r>
    </w:p>
    <w:p w:rsidR="00122BAF" w:rsidRDefault="00122BAF" w:rsidP="00122BA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маркировке и упаковке Изделий предъявляются следующие  требования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</w:p>
    <w:p w:rsidR="00122BAF" w:rsidRDefault="00122BAF" w:rsidP="00122B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Маркировка должна соответствовать </w:t>
      </w:r>
      <w:hyperlink r:id="rId12" w:history="1">
        <w:r>
          <w:rPr>
            <w:rStyle w:val="ab"/>
          </w:rPr>
          <w:t>ГОСТ Р ИСО 22523</w:t>
        </w:r>
      </w:hyperlink>
      <w:r>
        <w:rPr>
          <w:color w:val="0000FF"/>
          <w:sz w:val="20"/>
          <w:szCs w:val="20"/>
          <w:u w:val="single"/>
        </w:rPr>
        <w:t>-2007</w:t>
      </w:r>
      <w:r>
        <w:rPr>
          <w:sz w:val="20"/>
          <w:szCs w:val="20"/>
        </w:rPr>
        <w:t xml:space="preserve">, подраздел 13.2, с дополнениями, указанными в ТУ на протез конкретного типа. Упаковку ПНК проводят при их выдаче. В зависимости от размеров ПНК упаковывают в оберточную бумагу по </w:t>
      </w:r>
      <w:hyperlink r:id="rId13" w:history="1">
        <w:r>
          <w:rPr>
            <w:rStyle w:val="ab"/>
          </w:rPr>
          <w:t>ГОСТ 8273</w:t>
        </w:r>
      </w:hyperlink>
      <w:r>
        <w:rPr>
          <w:color w:val="0000FF"/>
          <w:sz w:val="20"/>
          <w:szCs w:val="20"/>
          <w:u w:val="single"/>
        </w:rPr>
        <w:t>-75</w:t>
      </w:r>
      <w:r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4" w:history="1">
        <w:r>
          <w:rPr>
            <w:rStyle w:val="ab"/>
          </w:rPr>
          <w:t>ГОСТ 10354</w:t>
        </w:r>
      </w:hyperlink>
      <w:r>
        <w:rPr>
          <w:color w:val="0000FF"/>
          <w:sz w:val="20"/>
          <w:szCs w:val="20"/>
          <w:u w:val="single"/>
        </w:rPr>
        <w:t>-82</w:t>
      </w:r>
      <w:r>
        <w:rPr>
          <w:sz w:val="20"/>
          <w:szCs w:val="20"/>
        </w:rPr>
        <w:t xml:space="preserve">, коробку из картона по </w:t>
      </w:r>
      <w:hyperlink r:id="rId15" w:history="1">
        <w:r>
          <w:rPr>
            <w:rStyle w:val="ab"/>
          </w:rPr>
          <w:t>ГОСТ 7933</w:t>
        </w:r>
      </w:hyperlink>
      <w:r>
        <w:rPr>
          <w:color w:val="0000FF"/>
          <w:sz w:val="20"/>
          <w:szCs w:val="20"/>
          <w:u w:val="single"/>
        </w:rPr>
        <w:t>-89</w:t>
      </w:r>
      <w:r>
        <w:rPr>
          <w:sz w:val="20"/>
          <w:szCs w:val="20"/>
        </w:rPr>
        <w:t xml:space="preserve"> и/или в чехол из хлопчатобумажной ткани по </w:t>
      </w:r>
      <w:hyperlink r:id="rId16" w:history="1">
        <w:r>
          <w:rPr>
            <w:rStyle w:val="ab"/>
          </w:rPr>
          <w:t>ГОСТ 29298</w:t>
        </w:r>
      </w:hyperlink>
      <w:r>
        <w:rPr>
          <w:color w:val="0000FF"/>
          <w:sz w:val="20"/>
          <w:szCs w:val="20"/>
          <w:u w:val="single"/>
        </w:rPr>
        <w:t>-2005</w:t>
      </w:r>
      <w:r>
        <w:rPr>
          <w:sz w:val="20"/>
          <w:szCs w:val="20"/>
        </w:rPr>
        <w:t>.</w:t>
      </w:r>
    </w:p>
    <w:p w:rsidR="00122BAF" w:rsidRDefault="00122BAF" w:rsidP="00122BAF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22BAF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22BAF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22BAF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br w:type="page"/>
      </w: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122BAF" w:rsidSect="00122BAF">
          <w:endnotePr>
            <w:numFmt w:val="decimal"/>
          </w:endnotePr>
          <w:pgSz w:w="11906" w:h="16838"/>
          <w:pgMar w:top="678" w:right="426" w:bottom="113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105"/>
        <w:gridCol w:w="1559"/>
        <w:gridCol w:w="5670"/>
        <w:gridCol w:w="851"/>
        <w:gridCol w:w="1276"/>
        <w:gridCol w:w="1304"/>
      </w:tblGrid>
      <w:tr w:rsidR="003C24AB" w:rsidRPr="00641822" w:rsidTr="0042659A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41822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641822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Pr="0042659A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2659A">
              <w:rPr>
                <w:b/>
                <w:bCs/>
                <w:sz w:val="20"/>
                <w:szCs w:val="20"/>
              </w:rPr>
              <w:t>Наименование</w:t>
            </w:r>
            <w:r w:rsidR="00964241" w:rsidRPr="0042659A">
              <w:rPr>
                <w:b/>
                <w:bCs/>
                <w:sz w:val="20"/>
                <w:szCs w:val="20"/>
              </w:rPr>
              <w:t xml:space="preserve"> работы</w:t>
            </w:r>
            <w:r w:rsidRPr="0042659A">
              <w:rPr>
                <w:b/>
                <w:bCs/>
                <w:sz w:val="20"/>
                <w:szCs w:val="20"/>
              </w:rPr>
              <w:t xml:space="preserve">  </w:t>
            </w:r>
            <w:r w:rsidR="00964241" w:rsidRPr="0042659A">
              <w:rPr>
                <w:b/>
                <w:bCs/>
                <w:sz w:val="20"/>
                <w:szCs w:val="20"/>
              </w:rPr>
              <w:t>(</w:t>
            </w:r>
            <w:r w:rsidRPr="0042659A">
              <w:rPr>
                <w:b/>
                <w:bCs/>
                <w:sz w:val="20"/>
                <w:szCs w:val="20"/>
              </w:rPr>
              <w:t>изготовленного по индивидуальному заказу</w:t>
            </w:r>
            <w:proofErr w:type="gramEnd"/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2659A">
              <w:rPr>
                <w:b/>
                <w:bCs/>
                <w:sz w:val="20"/>
                <w:szCs w:val="20"/>
              </w:rPr>
              <w:t>Изделия</w:t>
            </w:r>
            <w:r w:rsidR="00964241" w:rsidRPr="0042659A">
              <w:rPr>
                <w:b/>
                <w:bCs/>
                <w:sz w:val="20"/>
                <w:szCs w:val="20"/>
              </w:rPr>
              <w:t>)</w:t>
            </w:r>
            <w:r w:rsidRPr="0042659A">
              <w:rPr>
                <w:b/>
                <w:bCs/>
                <w:sz w:val="20"/>
                <w:szCs w:val="20"/>
              </w:rPr>
              <w:t xml:space="preserve">   </w:t>
            </w:r>
            <w:r w:rsidR="003C24AB" w:rsidRPr="0042659A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A5588D" w:rsidRPr="00A5588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5588D">
              <w:rPr>
                <w:rFonts w:eastAsia="Calibri"/>
                <w:b/>
                <w:sz w:val="20"/>
                <w:szCs w:val="20"/>
              </w:rPr>
              <w:t>(изготовленного по индивидуальному заказу изделие)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случае отсутствия соответствующих позиций в КТРУ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>Объем работ,   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42659A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42659A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2659A">
              <w:rPr>
                <w:rFonts w:eastAsia="Calibri"/>
                <w:b/>
                <w:bCs/>
                <w:sz w:val="18"/>
                <w:szCs w:val="18"/>
              </w:rPr>
              <w:t>Единица измерения объема выполняемой работы</w:t>
            </w:r>
            <w:r w:rsidR="00964241" w:rsidRPr="0042659A">
              <w:rPr>
                <w:rFonts w:eastAsia="Calibri"/>
                <w:b/>
                <w:bCs/>
                <w:sz w:val="18"/>
                <w:szCs w:val="18"/>
              </w:rPr>
              <w:t xml:space="preserve"> (изделия)</w:t>
            </w:r>
            <w:r w:rsidRPr="0042659A">
              <w:rPr>
                <w:rFonts w:eastAsia="Calibri"/>
                <w:b/>
                <w:bCs/>
                <w:sz w:val="18"/>
                <w:szCs w:val="18"/>
              </w:rPr>
              <w:t xml:space="preserve"> (при наличии)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4265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EF6F6A" w:rsidRPr="00641822" w:rsidTr="0042659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641822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 xml:space="preserve">Протез </w:t>
            </w:r>
            <w:proofErr w:type="spellStart"/>
            <w:r w:rsidRPr="0042659A">
              <w:rPr>
                <w:sz w:val="22"/>
                <w:szCs w:val="22"/>
              </w:rPr>
              <w:t>транстибиальный</w:t>
            </w:r>
            <w:proofErr w:type="spellEnd"/>
            <w:r w:rsidRPr="0042659A">
              <w:rPr>
                <w:sz w:val="22"/>
                <w:szCs w:val="22"/>
              </w:rPr>
              <w:t xml:space="preserve"> 32.50.22.190-00005043</w:t>
            </w:r>
          </w:p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A" w:rsidRDefault="00EF6F6A" w:rsidP="0042659A">
            <w:pPr>
              <w:ind w:firstLine="1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из формообразующей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</w:t>
            </w:r>
            <w:proofErr w:type="gramStart"/>
            <w:r w:rsidRPr="006D63A9">
              <w:rPr>
                <w:sz w:val="18"/>
                <w:szCs w:val="18"/>
              </w:rPr>
              <w:t>модульная</w:t>
            </w:r>
            <w:proofErr w:type="gramEnd"/>
            <w:r w:rsidRPr="006D63A9">
              <w:rPr>
                <w:sz w:val="18"/>
                <w:szCs w:val="18"/>
              </w:rPr>
              <w:t xml:space="preserve"> мягкая пенополиуретановая,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>. Приёмная гильза индивидуальная (не менее 2 пробных гильз). 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материалов. Крепление протеза вакуумное, с использованием наколенника эластичного или кожаных полуфабрикатов. Стопа с высокой степенью энергосбережения.</w:t>
            </w:r>
          </w:p>
          <w:p w:rsidR="00EF6F6A" w:rsidRPr="006D63A9" w:rsidRDefault="00EF6F6A" w:rsidP="0042659A">
            <w:pPr>
              <w:ind w:firstLine="147"/>
              <w:jc w:val="both"/>
              <w:rPr>
                <w:sz w:val="18"/>
                <w:szCs w:val="18"/>
              </w:rPr>
            </w:pP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Default="00EF6F6A" w:rsidP="00EF6F6A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EF6F6A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188 786</w:t>
            </w:r>
            <w:r>
              <w:rPr>
                <w:color w:val="000000"/>
                <w:sz w:val="20"/>
                <w:szCs w:val="20"/>
              </w:rPr>
              <w:t>,67</w:t>
            </w:r>
          </w:p>
        </w:tc>
        <w:tc>
          <w:tcPr>
            <w:tcW w:w="1304" w:type="dxa"/>
          </w:tcPr>
          <w:p w:rsidR="00EF6F6A" w:rsidRPr="00641822" w:rsidRDefault="00EF6F6A" w:rsidP="00EF6F6A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823636" w:rsidRPr="00641822" w:rsidTr="0042659A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36" w:rsidRPr="00641822" w:rsidRDefault="00823636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 xml:space="preserve">Протез </w:t>
            </w:r>
            <w:proofErr w:type="spellStart"/>
            <w:r w:rsidRPr="0042659A">
              <w:rPr>
                <w:sz w:val="22"/>
                <w:szCs w:val="22"/>
              </w:rPr>
              <w:t>транстибиальный</w:t>
            </w:r>
            <w:proofErr w:type="spellEnd"/>
            <w:r w:rsidRPr="0042659A">
              <w:rPr>
                <w:sz w:val="22"/>
                <w:szCs w:val="22"/>
              </w:rPr>
              <w:t xml:space="preserve"> 32.50.22.190-00005043</w:t>
            </w:r>
          </w:p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42659A" w:rsidRDefault="00823636" w:rsidP="00823636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A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из ф</w:t>
            </w:r>
            <w:r w:rsidRPr="006D63A9">
              <w:rPr>
                <w:sz w:val="18"/>
                <w:szCs w:val="18"/>
              </w:rPr>
              <w:t>ормообразующ</w:t>
            </w:r>
            <w:r>
              <w:rPr>
                <w:sz w:val="18"/>
                <w:szCs w:val="18"/>
              </w:rPr>
              <w:t>ей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</w:t>
            </w:r>
            <w:proofErr w:type="gramStart"/>
            <w:r w:rsidRPr="006D63A9">
              <w:rPr>
                <w:sz w:val="18"/>
                <w:szCs w:val="18"/>
              </w:rPr>
              <w:t>модульная</w:t>
            </w:r>
            <w:proofErr w:type="gramEnd"/>
            <w:r w:rsidRPr="006D63A9">
              <w:rPr>
                <w:sz w:val="18"/>
                <w:szCs w:val="18"/>
              </w:rPr>
              <w:t xml:space="preserve">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 Приёмная гильза индивидуальная (не менее 2 пробных гильз).   Материал приемной гильзы: кожа, древесина, слоистый пластик на основе полиамидных или акриловых смол, листовой термопластичный пластик.  Допускается применение вкладной гильзы (вкладыша) из вспененных материалов. Крепление протеза с использованием: гильзы бедра со стальными шинами с использованием кожаных полуфабрикатов; либо крепление с использованием наколенника герметизирующего эластичного. Стопа с высокой степенью энергосбережения. </w:t>
            </w:r>
            <w:r w:rsidRPr="00C51EBE">
              <w:rPr>
                <w:sz w:val="18"/>
                <w:szCs w:val="18"/>
              </w:rPr>
              <w:t xml:space="preserve"> </w:t>
            </w:r>
          </w:p>
          <w:p w:rsidR="00823636" w:rsidRPr="006D63A9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823636" w:rsidRDefault="00EF6F6A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823636" w:rsidRDefault="00EF6F6A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191 300,00</w:t>
            </w:r>
          </w:p>
        </w:tc>
        <w:tc>
          <w:tcPr>
            <w:tcW w:w="1304" w:type="dxa"/>
          </w:tcPr>
          <w:p w:rsidR="00823636" w:rsidRPr="00641822" w:rsidRDefault="00823636" w:rsidP="00823636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EF6F6A" w:rsidRPr="00641822" w:rsidTr="0042659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641822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Протез голени модульный, в том числе при недоразвитии</w:t>
            </w:r>
          </w:p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 xml:space="preserve">Протез </w:t>
            </w:r>
            <w:proofErr w:type="spellStart"/>
            <w:r w:rsidRPr="0042659A">
              <w:rPr>
                <w:sz w:val="22"/>
                <w:szCs w:val="22"/>
              </w:rPr>
              <w:t>транстибиальный</w:t>
            </w:r>
            <w:proofErr w:type="spellEnd"/>
            <w:r w:rsidRPr="0042659A">
              <w:rPr>
                <w:sz w:val="22"/>
                <w:szCs w:val="22"/>
              </w:rPr>
              <w:t xml:space="preserve"> 32.50.22.190-00005043</w:t>
            </w:r>
          </w:p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6D63A9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из формообразующей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</w:t>
            </w:r>
            <w:proofErr w:type="gramStart"/>
            <w:r w:rsidRPr="006D63A9">
              <w:rPr>
                <w:sz w:val="18"/>
                <w:szCs w:val="18"/>
              </w:rPr>
              <w:t>модульная</w:t>
            </w:r>
            <w:proofErr w:type="gramEnd"/>
            <w:r w:rsidRPr="006D63A9">
              <w:rPr>
                <w:sz w:val="18"/>
                <w:szCs w:val="18"/>
              </w:rPr>
              <w:t xml:space="preserve"> мягкая пенополиуретановая, листовой поролон. Косметическое покрытие облицовки –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>. 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 В качестве вкладного элемента применяются чехлы силиконовые (не менее 2 шт.), крепление с использованием замка или вакуумной мембраны, наколенника эластичного. Стопа с высокой степенью энергосбережения.</w:t>
            </w:r>
          </w:p>
          <w:p w:rsidR="0042659A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На короткую и среднюю культю. </w:t>
            </w:r>
            <w:r w:rsidRPr="00C51EBE">
              <w:rPr>
                <w:sz w:val="18"/>
                <w:szCs w:val="18"/>
              </w:rPr>
              <w:t xml:space="preserve"> </w:t>
            </w:r>
          </w:p>
          <w:p w:rsidR="00EF6F6A" w:rsidRPr="006D63A9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Default="00EF6F6A" w:rsidP="00EF6F6A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823636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411 966,67</w:t>
            </w:r>
          </w:p>
        </w:tc>
        <w:tc>
          <w:tcPr>
            <w:tcW w:w="1304" w:type="dxa"/>
          </w:tcPr>
          <w:p w:rsidR="00EF6F6A" w:rsidRPr="00641822" w:rsidRDefault="00EF6F6A" w:rsidP="00EF6F6A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EF6F6A" w:rsidRPr="00641822" w:rsidTr="0042659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641822" w:rsidRDefault="00A5588D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Протез голени для купания</w:t>
            </w:r>
          </w:p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 xml:space="preserve">Протез </w:t>
            </w:r>
            <w:proofErr w:type="spellStart"/>
            <w:r w:rsidRPr="0042659A">
              <w:rPr>
                <w:sz w:val="22"/>
                <w:szCs w:val="22"/>
              </w:rPr>
              <w:t>транстибиальный</w:t>
            </w:r>
            <w:proofErr w:type="spellEnd"/>
            <w:r w:rsidRPr="0042659A">
              <w:rPr>
                <w:sz w:val="22"/>
                <w:szCs w:val="22"/>
              </w:rPr>
              <w:t xml:space="preserve"> 32.50.22.190-00005043</w:t>
            </w:r>
          </w:p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42659A" w:rsidRDefault="00EF6F6A" w:rsidP="00EF6F6A">
            <w:pPr>
              <w:jc w:val="center"/>
              <w:rPr>
                <w:sz w:val="22"/>
                <w:szCs w:val="22"/>
              </w:rPr>
            </w:pPr>
            <w:r w:rsidRPr="0042659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A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состоит из приемной гильзы индивидуальной</w:t>
            </w:r>
            <w:r w:rsidRPr="006D63A9">
              <w:rPr>
                <w:sz w:val="18"/>
                <w:szCs w:val="18"/>
              </w:rPr>
              <w:t xml:space="preserve"> (не менее 2 пробных гильз).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6D63A9">
              <w:rPr>
                <w:sz w:val="18"/>
                <w:szCs w:val="18"/>
              </w:rPr>
              <w:t>пеноматериалов</w:t>
            </w:r>
            <w:proofErr w:type="spellEnd"/>
            <w:r w:rsidRPr="006D63A9">
              <w:rPr>
                <w:sz w:val="18"/>
                <w:szCs w:val="18"/>
              </w:rPr>
              <w:t xml:space="preserve">. Крепление протеза наколенником из </w:t>
            </w:r>
            <w:proofErr w:type="spellStart"/>
            <w:r w:rsidRPr="006D63A9">
              <w:rPr>
                <w:sz w:val="18"/>
                <w:szCs w:val="18"/>
              </w:rPr>
              <w:t>неопрена</w:t>
            </w:r>
            <w:proofErr w:type="spellEnd"/>
            <w:r w:rsidRPr="006D63A9">
              <w:rPr>
                <w:sz w:val="18"/>
                <w:szCs w:val="18"/>
              </w:rPr>
              <w:t xml:space="preserve">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 или без неё. </w:t>
            </w:r>
            <w:r w:rsidRPr="00C51EBE">
              <w:rPr>
                <w:sz w:val="18"/>
                <w:szCs w:val="18"/>
              </w:rPr>
              <w:t xml:space="preserve"> </w:t>
            </w:r>
          </w:p>
          <w:p w:rsidR="00EF6F6A" w:rsidRPr="006D63A9" w:rsidRDefault="00EF6F6A" w:rsidP="0042659A">
            <w:pPr>
              <w:ind w:firstLine="289"/>
              <w:jc w:val="both"/>
              <w:rPr>
                <w:sz w:val="18"/>
                <w:szCs w:val="18"/>
              </w:rPr>
            </w:pP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Default="00EF6F6A" w:rsidP="00EF6F6A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823636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200 266,67</w:t>
            </w:r>
          </w:p>
        </w:tc>
        <w:tc>
          <w:tcPr>
            <w:tcW w:w="1304" w:type="dxa"/>
          </w:tcPr>
          <w:p w:rsidR="00EF6F6A" w:rsidRPr="00641822" w:rsidRDefault="00EF6F6A" w:rsidP="00EF6F6A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42659A">
        <w:trPr>
          <w:trHeight w:val="3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Pr="0042659A" w:rsidRDefault="003C24AB" w:rsidP="00A5588D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42659A">
              <w:rPr>
                <w:b/>
                <w:sz w:val="20"/>
                <w:szCs w:val="20"/>
              </w:rPr>
              <w:t xml:space="preserve">Итого: </w:t>
            </w:r>
            <w:r w:rsidR="00823636" w:rsidRPr="0042659A">
              <w:rPr>
                <w:b/>
                <w:sz w:val="20"/>
                <w:szCs w:val="20"/>
              </w:rPr>
              <w:t>2</w:t>
            </w:r>
            <w:r w:rsidR="00A5588D" w:rsidRPr="0042659A">
              <w:rPr>
                <w:b/>
                <w:sz w:val="20"/>
                <w:szCs w:val="20"/>
              </w:rPr>
              <w:t>3</w:t>
            </w:r>
            <w:r w:rsidRPr="0042659A">
              <w:rPr>
                <w:b/>
                <w:sz w:val="20"/>
                <w:szCs w:val="20"/>
              </w:rPr>
              <w:t xml:space="preserve"> штук</w:t>
            </w:r>
            <w:r w:rsidR="00A5588D" w:rsidRPr="0042659A">
              <w:rPr>
                <w:b/>
                <w:sz w:val="20"/>
                <w:szCs w:val="20"/>
              </w:rPr>
              <w:t>и</w:t>
            </w:r>
            <w:r w:rsidRPr="0042659A">
              <w:rPr>
                <w:b/>
                <w:sz w:val="20"/>
                <w:szCs w:val="20"/>
              </w:rPr>
              <w:t xml:space="preserve">, начальная (максимальная) цена контракта – </w:t>
            </w:r>
            <w:r w:rsidR="00823636" w:rsidRPr="0042659A">
              <w:rPr>
                <w:b/>
                <w:sz w:val="20"/>
                <w:szCs w:val="20"/>
              </w:rPr>
              <w:t>5</w:t>
            </w:r>
            <w:r w:rsidR="00EF6F6A" w:rsidRPr="0042659A">
              <w:rPr>
                <w:b/>
                <w:sz w:val="20"/>
                <w:szCs w:val="20"/>
              </w:rPr>
              <w:t> 765 133</w:t>
            </w:r>
            <w:r w:rsidRPr="0042659A">
              <w:rPr>
                <w:b/>
                <w:sz w:val="20"/>
                <w:szCs w:val="20"/>
              </w:rPr>
              <w:t xml:space="preserve"> руб. </w:t>
            </w:r>
            <w:r w:rsidR="00EF6F6A" w:rsidRPr="0042659A">
              <w:rPr>
                <w:b/>
                <w:sz w:val="20"/>
                <w:szCs w:val="20"/>
              </w:rPr>
              <w:t>39</w:t>
            </w:r>
            <w:r w:rsidRPr="0042659A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84474F" w:rsidRPr="000A51E2" w:rsidRDefault="00A50DCF" w:rsidP="0042659A">
      <w:pPr>
        <w:jc w:val="both"/>
        <w:rPr>
          <w:sz w:val="20"/>
          <w:szCs w:val="20"/>
        </w:rPr>
      </w:pPr>
    </w:p>
    <w:sectPr w:rsidR="0084474F" w:rsidRPr="000A51E2" w:rsidSect="00122BAF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20" w:rsidRDefault="00155020" w:rsidP="001E3464">
      <w:r>
        <w:separator/>
      </w:r>
    </w:p>
  </w:endnote>
  <w:endnote w:type="continuationSeparator" w:id="0">
    <w:p w:rsidR="00155020" w:rsidRDefault="00155020" w:rsidP="001E3464">
      <w:r>
        <w:continuationSeparator/>
      </w:r>
    </w:p>
  </w:endnote>
  <w:endnote w:id="1">
    <w:p w:rsidR="00C51EBE" w:rsidRDefault="00C51EBE" w:rsidP="00C51EBE">
      <w:pPr>
        <w:rPr>
          <w:sz w:val="20"/>
          <w:szCs w:val="20"/>
        </w:rPr>
      </w:pPr>
      <w:r w:rsidRPr="0042659A">
        <w:rPr>
          <w:b/>
          <w:sz w:val="20"/>
          <w:szCs w:val="20"/>
        </w:rPr>
        <w:t>Объем работ:</w:t>
      </w:r>
      <w:r>
        <w:rPr>
          <w:sz w:val="20"/>
          <w:szCs w:val="20"/>
        </w:rPr>
        <w:t xml:space="preserve"> </w:t>
      </w:r>
      <w:r w:rsidR="00823636">
        <w:rPr>
          <w:sz w:val="20"/>
          <w:szCs w:val="20"/>
        </w:rPr>
        <w:t>2</w:t>
      </w:r>
      <w:r w:rsidR="00EF6F6A">
        <w:rPr>
          <w:sz w:val="20"/>
          <w:szCs w:val="20"/>
        </w:rPr>
        <w:t>3</w:t>
      </w:r>
      <w:r>
        <w:rPr>
          <w:sz w:val="20"/>
          <w:szCs w:val="20"/>
        </w:rPr>
        <w:t xml:space="preserve">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Pr="00E63435">
        <w:rPr>
          <w:sz w:val="20"/>
          <w:szCs w:val="20"/>
        </w:rPr>
        <w:t xml:space="preserve"> </w:t>
      </w:r>
      <w:r w:rsidR="00823636">
        <w:rPr>
          <w:sz w:val="20"/>
          <w:szCs w:val="20"/>
        </w:rPr>
        <w:t>5</w:t>
      </w:r>
      <w:r w:rsidR="00EF6F6A">
        <w:rPr>
          <w:sz w:val="20"/>
          <w:szCs w:val="20"/>
        </w:rPr>
        <w:t> 765 133</w:t>
      </w:r>
      <w:r>
        <w:rPr>
          <w:sz w:val="20"/>
          <w:szCs w:val="20"/>
        </w:rPr>
        <w:t xml:space="preserve"> руб. </w:t>
      </w:r>
      <w:r w:rsidR="00EF6F6A">
        <w:rPr>
          <w:sz w:val="20"/>
          <w:szCs w:val="20"/>
        </w:rPr>
        <w:t>39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коп.</w:t>
      </w:r>
    </w:p>
    <w:p w:rsidR="00C51EBE" w:rsidRDefault="00C51EBE" w:rsidP="00C51EBE">
      <w:pPr>
        <w:rPr>
          <w:sz w:val="20"/>
          <w:szCs w:val="20"/>
        </w:rPr>
      </w:pPr>
      <w:r w:rsidRPr="0042659A">
        <w:rPr>
          <w:b/>
          <w:sz w:val="20"/>
          <w:szCs w:val="20"/>
        </w:rPr>
        <w:t>Срок выполнения работ (завершения обеспечения Получателей Изделиями</w:t>
      </w:r>
      <w:r>
        <w:rPr>
          <w:sz w:val="20"/>
          <w:szCs w:val="20"/>
        </w:rPr>
        <w:t xml:space="preserve">) с момента заключения Контракта Сторонами по </w:t>
      </w:r>
      <w:r w:rsidR="00EF6F6A">
        <w:rPr>
          <w:sz w:val="20"/>
          <w:szCs w:val="20"/>
        </w:rPr>
        <w:t>23</w:t>
      </w:r>
      <w:r>
        <w:rPr>
          <w:sz w:val="20"/>
          <w:szCs w:val="20"/>
        </w:rPr>
        <w:t>.12.202</w:t>
      </w:r>
      <w:r w:rsidR="00EF6F6A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F84257" w:rsidRPr="00F84257" w:rsidRDefault="00F84257" w:rsidP="00F8425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2659A">
        <w:rPr>
          <w:b/>
          <w:bCs/>
          <w:color w:val="000000"/>
          <w:sz w:val="20"/>
          <w:szCs w:val="20"/>
        </w:rPr>
        <w:t>Место выполнения работ</w:t>
      </w:r>
      <w:r w:rsidRPr="00F84257">
        <w:rPr>
          <w:bCs/>
          <w:color w:val="000000"/>
          <w:sz w:val="20"/>
          <w:szCs w:val="20"/>
        </w:rPr>
        <w:t xml:space="preserve">: РФ, по месту выполнения работ (изготовления изделий с учетом индивидуальных обмеров и индивидуальных показаний Получателя). </w:t>
      </w:r>
      <w:proofErr w:type="gramStart"/>
      <w:r w:rsidRPr="00F84257">
        <w:rPr>
          <w:bCs/>
          <w:color w:val="000000"/>
          <w:sz w:val="20"/>
          <w:szCs w:val="20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C51EBE" w:rsidRDefault="00C51EBE" w:rsidP="00C51EBE">
      <w:pPr>
        <w:rPr>
          <w:bCs/>
          <w:i/>
        </w:rPr>
      </w:pPr>
      <w:bookmarkStart w:id="0" w:name="_GoBack"/>
      <w:bookmarkEnd w:id="0"/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r w:rsidRPr="005C5F6D">
        <w:rPr>
          <w:i/>
          <w:sz w:val="16"/>
          <w:szCs w:val="16"/>
        </w:rPr>
        <w:t xml:space="preserve">В соответствии с Постановлением Правительства РФ от 08.02.2017 N 145 (ред. </w:t>
      </w:r>
      <w:proofErr w:type="gramStart"/>
      <w:r w:rsidRPr="005C5F6D">
        <w:rPr>
          <w:i/>
          <w:sz w:val="16"/>
          <w:szCs w:val="16"/>
        </w:rPr>
        <w:t>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3C24AB" w:rsidRPr="0042659A" w:rsidRDefault="00C51EBE" w:rsidP="0042659A">
      <w:pPr>
        <w:pStyle w:val="3"/>
        <w:ind w:left="0"/>
        <w:jc w:val="both"/>
        <w:rPr>
          <w:sz w:val="20"/>
          <w:szCs w:val="20"/>
        </w:rPr>
      </w:pPr>
      <w:proofErr w:type="gramStart"/>
      <w:r w:rsidRPr="00A50DCF">
        <w:rPr>
          <w:sz w:val="24"/>
          <w:szCs w:val="24"/>
          <w:vertAlign w:val="superscript"/>
        </w:rPr>
        <w:t>2</w:t>
      </w:r>
      <w:r w:rsidRPr="00A50DCF">
        <w:rPr>
          <w:sz w:val="20"/>
          <w:szCs w:val="20"/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5C5F6D">
        <w:rPr>
          <w:bCs/>
          <w:i/>
        </w:rPr>
        <w:t xml:space="preserve"> Также, наименование изделия в техническом </w:t>
      </w:r>
      <w:proofErr w:type="gramStart"/>
      <w:r w:rsidRPr="005C5F6D">
        <w:rPr>
          <w:bCs/>
          <w:i/>
        </w:rPr>
        <w:t>задании</w:t>
      </w:r>
      <w:proofErr w:type="gramEnd"/>
      <w:r w:rsidRPr="005C5F6D">
        <w:rPr>
          <w:bCs/>
          <w:i/>
        </w:rPr>
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20" w:rsidRDefault="00155020" w:rsidP="001E3464">
      <w:r>
        <w:separator/>
      </w:r>
    </w:p>
  </w:footnote>
  <w:footnote w:type="continuationSeparator" w:id="0">
    <w:p w:rsidR="00155020" w:rsidRDefault="00155020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54B94"/>
    <w:rsid w:val="000A51E2"/>
    <w:rsid w:val="000B41E1"/>
    <w:rsid w:val="000F02E4"/>
    <w:rsid w:val="00122BAF"/>
    <w:rsid w:val="00155020"/>
    <w:rsid w:val="001B2715"/>
    <w:rsid w:val="001B6CF9"/>
    <w:rsid w:val="001D53D6"/>
    <w:rsid w:val="001E3464"/>
    <w:rsid w:val="00223BCA"/>
    <w:rsid w:val="00254BF4"/>
    <w:rsid w:val="002E335A"/>
    <w:rsid w:val="0030305A"/>
    <w:rsid w:val="00324CFA"/>
    <w:rsid w:val="003C24AB"/>
    <w:rsid w:val="003F4749"/>
    <w:rsid w:val="0042659A"/>
    <w:rsid w:val="00444F3C"/>
    <w:rsid w:val="004516E6"/>
    <w:rsid w:val="0056491E"/>
    <w:rsid w:val="00574D68"/>
    <w:rsid w:val="00596F81"/>
    <w:rsid w:val="00633909"/>
    <w:rsid w:val="00636046"/>
    <w:rsid w:val="00641822"/>
    <w:rsid w:val="006D63A9"/>
    <w:rsid w:val="007C133A"/>
    <w:rsid w:val="00823636"/>
    <w:rsid w:val="00843CAA"/>
    <w:rsid w:val="008E0B7B"/>
    <w:rsid w:val="00964241"/>
    <w:rsid w:val="00973B90"/>
    <w:rsid w:val="00987F7B"/>
    <w:rsid w:val="00A07A35"/>
    <w:rsid w:val="00A50DCF"/>
    <w:rsid w:val="00A5588D"/>
    <w:rsid w:val="00AB7BD7"/>
    <w:rsid w:val="00B235E1"/>
    <w:rsid w:val="00C16430"/>
    <w:rsid w:val="00C21A99"/>
    <w:rsid w:val="00C51EBE"/>
    <w:rsid w:val="00C525F3"/>
    <w:rsid w:val="00CA6879"/>
    <w:rsid w:val="00CD6B01"/>
    <w:rsid w:val="00CE7F53"/>
    <w:rsid w:val="00E76C12"/>
    <w:rsid w:val="00ED1075"/>
    <w:rsid w:val="00EF6F6A"/>
    <w:rsid w:val="00F84257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22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2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181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4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8516" TargetMode="External"/><Relationship Id="rId10" Type="http://schemas.openxmlformats.org/officeDocument/2006/relationships/hyperlink" Target="http://docs.cntd.ru/document/1200019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0AD0-D1BC-4E09-A199-CFD23E0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2022-10-20T12:10:00Z</cp:lastPrinted>
  <dcterms:created xsi:type="dcterms:W3CDTF">2022-11-02T07:32:00Z</dcterms:created>
  <dcterms:modified xsi:type="dcterms:W3CDTF">2022-11-02T07:40:00Z</dcterms:modified>
</cp:coreProperties>
</file>