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2" w:rsidRPr="006840D2" w:rsidRDefault="00167791" w:rsidP="006840D2">
      <w:pPr>
        <w:widowControl w:val="0"/>
        <w:tabs>
          <w:tab w:val="left" w:pos="0"/>
        </w:tabs>
        <w:suppressAutoHyphens/>
        <w:spacing w:after="0" w:line="240" w:lineRule="auto"/>
        <w:ind w:right="-778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ОПИСАНИЕ ОБЪЕКТА ЗАКУПКИ</w:t>
      </w:r>
      <w:bookmarkStart w:id="0" w:name="_GoBack"/>
      <w:bookmarkEnd w:id="0"/>
    </w:p>
    <w:p w:rsidR="006840D2" w:rsidRPr="006840D2" w:rsidRDefault="00167791" w:rsidP="006840D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В</w:t>
      </w:r>
      <w:r w:rsidR="006840D2"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ыполнение работ по изготовлению протезов верхних конечностей, предоставляемых лицам, пострадавшим в результате</w:t>
      </w:r>
      <w:r w:rsidR="006840D2" w:rsidRPr="006840D2">
        <w:rPr>
          <w:rFonts w:ascii="Times New Roman" w:eastAsia="Andale Sans UI" w:hAnsi="Times New Roman" w:cs="Times New Roman"/>
          <w:b/>
          <w:bCs/>
          <w:spacing w:val="-4"/>
          <w:kern w:val="1"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      Предмет аукциона</w:t>
      </w:r>
      <w:r w:rsidRPr="006840D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 - 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выполнение работ по изготовлению протезов верхних конечностей, предоставляемых лицам, пострадавшим в результате</w:t>
      </w:r>
      <w:r w:rsidRPr="006840D2">
        <w:rPr>
          <w:rFonts w:ascii="Times New Roman" w:eastAsia="Andale Sans UI" w:hAnsi="Times New Roman" w:cs="Times New Roman"/>
          <w:bCs/>
          <w:spacing w:val="-4"/>
          <w:kern w:val="1"/>
          <w:sz w:val="24"/>
          <w:szCs w:val="24"/>
        </w:rPr>
        <w:t xml:space="preserve"> несчастных случаев на производстве и профессиональных заболеваний.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         </w:t>
      </w:r>
      <w:proofErr w:type="gramStart"/>
      <w:r w:rsidRPr="006840D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М</w:t>
      </w:r>
      <w:r w:rsidRPr="006840D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есто выполнения работ</w:t>
      </w:r>
      <w:r w:rsidRPr="006840D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–</w:t>
      </w:r>
      <w:r w:rsidRPr="006840D2">
        <w:rPr>
          <w:rFonts w:ascii="Times New Roman" w:eastAsia="Andale Sans UI" w:hAnsi="Times New Roman" w:cs="Times New Roman"/>
          <w:kern w:val="1"/>
          <w:lang w:eastAsia="ar-SA"/>
        </w:rPr>
        <w:t xml:space="preserve"> </w:t>
      </w:r>
      <w:r w:rsidRPr="006840D2">
        <w:rPr>
          <w:rFonts w:ascii="Times New Roman" w:eastAsia="Andale Sans UI" w:hAnsi="Times New Roman" w:cs="Times New Roman"/>
          <w:bCs/>
          <w:iCs/>
          <w:kern w:val="1"/>
          <w:sz w:val="24"/>
          <w:szCs w:val="24"/>
        </w:rPr>
        <w:t xml:space="preserve"> 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г. Москва и Московская область (или осуществить передачу изделия Получателю через пункт выдачи товара.</w:t>
      </w:r>
      <w:proofErr w:type="gramEnd"/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случае выбора Получателем способа получения изделия через пункт выдачи: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</w:t>
      </w:r>
      <w:proofErr w:type="gramStart"/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  обеспечить передачу изделия Получателям в стационарных пунктах выдачи, организованных в соответствии с 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приказом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Министерства труда и социальной защиты Российской Федерации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  <w:proofErr w:type="gramEnd"/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-   установить график работы пунктов выдачи, включая работу в один из выходных дней.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Пункты выдачи и склад Поставщика должны быть оснащены видеокамерами.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  Период выполнения работ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до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10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.1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r w:rsidRPr="006840D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>2022 года.</w:t>
      </w:r>
      <w:r w:rsidRPr="006840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6840D2" w:rsidRPr="006840D2" w:rsidRDefault="006840D2" w:rsidP="006840D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Срок выполнения работ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в течение 45 (сорока пяти) дней с момента получения Исполнителем Направления. Направления принимаются Исполнителем не позднее 45 (сорока пяти) дней до истечения срока выполнения работ. В случае приема направлений после указанного срока, исполнитель принимает на себя обязательство по выполнению работ в рамках срока, указанного контрактом.       </w:t>
      </w:r>
    </w:p>
    <w:p w:rsidR="006840D2" w:rsidRPr="006840D2" w:rsidRDefault="006840D2" w:rsidP="006840D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Срок действия контракта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до 1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0.1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2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.2022. 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Количество изделий –1 шт. </w:t>
      </w:r>
    </w:p>
    <w:p w:rsidR="006840D2" w:rsidRPr="006840D2" w:rsidRDefault="006840D2" w:rsidP="006840D2">
      <w:pPr>
        <w:widowControl w:val="0"/>
        <w:shd w:val="clear" w:color="auto" w:fill="FFFFFF"/>
        <w:suppressAutoHyphens/>
        <w:spacing w:after="0" w:line="240" w:lineRule="auto"/>
        <w:ind w:right="-45"/>
        <w:jc w:val="both"/>
        <w:rPr>
          <w:rFonts w:ascii="Times New Roman" w:eastAsia="Arial CYR" w:hAnsi="Times New Roman" w:cs="Times New Roman"/>
          <w:kern w:val="1"/>
          <w:sz w:val="24"/>
          <w:szCs w:val="24"/>
        </w:rPr>
      </w:pPr>
    </w:p>
    <w:tbl>
      <w:tblPr>
        <w:tblW w:w="4656" w:type="pct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1"/>
        <w:gridCol w:w="6637"/>
        <w:gridCol w:w="812"/>
      </w:tblGrid>
      <w:tr w:rsidR="00EC31F9" w:rsidRPr="006840D2" w:rsidTr="00EC31F9">
        <w:trPr>
          <w:trHeight w:val="433"/>
        </w:trPr>
        <w:tc>
          <w:tcPr>
            <w:tcW w:w="956" w:type="pct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6840D2"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widowControl w:val="0"/>
              <w:suppressAutoHyphens/>
              <w:snapToGrid w:val="0"/>
              <w:spacing w:after="0" w:line="240" w:lineRule="auto"/>
              <w:ind w:right="50"/>
              <w:jc w:val="center"/>
              <w:rPr>
                <w:rFonts w:ascii="Times New Roman" w:eastAsia="Andale Sans UI" w:hAnsi="Times New Roman" w:cs="Times New Roman"/>
                <w:color w:val="000000"/>
                <w:kern w:val="1"/>
              </w:rPr>
            </w:pPr>
            <w:r w:rsidRPr="006840D2">
              <w:rPr>
                <w:rFonts w:ascii="Times New Roman" w:eastAsia="Andale Sans UI" w:hAnsi="Times New Roman" w:cs="Times New Roman"/>
                <w:color w:val="000000"/>
                <w:kern w:val="1"/>
              </w:rPr>
              <w:t xml:space="preserve">Кол-во </w:t>
            </w:r>
          </w:p>
        </w:tc>
      </w:tr>
      <w:tr w:rsidR="00EC31F9" w:rsidRPr="006840D2" w:rsidTr="00EC31F9">
        <w:trPr>
          <w:trHeight w:val="495"/>
        </w:trPr>
        <w:tc>
          <w:tcPr>
            <w:tcW w:w="956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6840D2">
              <w:rPr>
                <w:rFonts w:ascii="Times New Roman" w:eastAsia="Andale Sans UI" w:hAnsi="Times New Roman" w:cs="Times New Roman"/>
                <w:kern w:val="2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EC31F9" w:rsidRPr="006840D2" w:rsidRDefault="00EC31F9" w:rsidP="006840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6840D2">
              <w:rPr>
                <w:rFonts w:ascii="Times New Roman" w:eastAsia="Andale Sans UI" w:hAnsi="Times New Roman" w:cs="Times New Roman"/>
                <w:kern w:val="2"/>
              </w:rPr>
              <w:t>ОКПД 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74"/>
            </w:tblGrid>
            <w:tr w:rsidR="00EC31F9" w:rsidRPr="006840D2" w:rsidTr="003665ED">
              <w:trPr>
                <w:trHeight w:val="251"/>
                <w:tblCellSpacing w:w="15" w:type="dxa"/>
              </w:trPr>
              <w:tc>
                <w:tcPr>
                  <w:tcW w:w="47" w:type="dxa"/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  <w:r w:rsidRPr="006840D2"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  <w:t>32.50.22.121</w:t>
                  </w:r>
                </w:p>
              </w:tc>
            </w:tr>
            <w:tr w:rsidR="00EC31F9" w:rsidRPr="006840D2" w:rsidTr="003665ED">
              <w:trPr>
                <w:trHeight w:val="265"/>
                <w:tblCellSpacing w:w="15" w:type="dxa"/>
              </w:trPr>
              <w:tc>
                <w:tcPr>
                  <w:tcW w:w="47" w:type="dxa"/>
                  <w:vAlign w:val="center"/>
                </w:tcPr>
                <w:p w:rsidR="00EC31F9" w:rsidRPr="006840D2" w:rsidRDefault="00EC31F9" w:rsidP="006840D2">
                  <w:pPr>
                    <w:widowControl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9" w:type="dxa"/>
                  <w:vAlign w:val="center"/>
                </w:tcPr>
                <w:p w:rsidR="00EC31F9" w:rsidRPr="006840D2" w:rsidRDefault="00EC31F9" w:rsidP="006840D2">
                  <w:pPr>
                    <w:widowControl w:val="0"/>
                    <w:spacing w:after="0" w:line="240" w:lineRule="auto"/>
                    <w:rPr>
                      <w:rFonts w:ascii="Times New Roman" w:eastAsia="Andale Sans UI" w:hAnsi="Times New Roman" w:cs="Times New Roman"/>
                      <w:kern w:val="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предназначен для компенсации врожденных и ампутационных дефектов пальцев и кисти.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состоит из двух основных частей: кисть с модулями пальцев и предплечье с электроникой</w:t>
            </w:r>
          </w:p>
          <w:p w:rsidR="00EC31F9" w:rsidRPr="006840D2" w:rsidRDefault="00EC31F9" w:rsidP="006840D2">
            <w:pPr>
              <w:widowControl w:val="0"/>
              <w:numPr>
                <w:ilvl w:val="1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Кисть состоит из: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Внутренней гильзы, в которую опционально устанавливаются электроды 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Внешней гильзы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Модулей пальцев, состоящих из </w:t>
            </w:r>
            <w:proofErr w:type="gram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мотор-редуктора</w:t>
            </w:r>
            <w:proofErr w:type="gram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и кинематического механизма, размещенных в корпусе пальца.</w:t>
            </w:r>
          </w:p>
          <w:p w:rsidR="00EC31F9" w:rsidRPr="006840D2" w:rsidRDefault="00EC31F9" w:rsidP="006840D2">
            <w:pPr>
              <w:widowControl w:val="0"/>
              <w:numPr>
                <w:ilvl w:val="1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Предплечье состоит из: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Внутренней гильзы,  в которую опционально устанавливаются электроды 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Системы питания, включающей АКБ, и плату управления питанием, модуль зарядки и включения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Системы управления</w:t>
            </w:r>
          </w:p>
          <w:p w:rsidR="00EC31F9" w:rsidRPr="006840D2" w:rsidRDefault="00EC31F9" w:rsidP="006840D2">
            <w:pPr>
              <w:widowControl w:val="0"/>
              <w:numPr>
                <w:ilvl w:val="2"/>
                <w:numId w:val="1"/>
              </w:numPr>
              <w:shd w:val="clear" w:color="auto" w:fill="FFFFFF"/>
              <w:suppressAutoHyphens/>
              <w:spacing w:after="0" w:line="240" w:lineRule="auto"/>
              <w:ind w:hanging="360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Внешней гильзы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Привод модуля пальца электромеханический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 xml:space="preserve">Протез может запомнить 8 различных жестов. Каждый жест может настраиваться индивидуально по желанию пользователя в момент протезирования или после, самим пользователем. Переключение и настройка жестов происходит через мобильное приложение или командой от ЭМГ датчиков. По умолчанию в протезе настроен первый жест - </w:t>
            </w:r>
            <w:proofErr w:type="spellStart"/>
            <w:r w:rsidRPr="006840D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>схват</w:t>
            </w:r>
            <w:proofErr w:type="spellEnd"/>
            <w:r w:rsidRPr="006840D2">
              <w:rPr>
                <w:rFonts w:ascii="Times New Roman" w:eastAsia="Montserrat" w:hAnsi="Times New Roman" w:cs="Times New Roman"/>
                <w:color w:val="3C4043"/>
                <w:kern w:val="1"/>
                <w:sz w:val="20"/>
                <w:szCs w:val="20"/>
                <w:highlight w:val="white"/>
              </w:rPr>
              <w:t xml:space="preserve"> в щепоть.</w:t>
            </w:r>
            <w:r w:rsidRPr="006840D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br/>
              <w:t>Внешний вид: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Имеется возможность создания различных по форме и цвету вариантов модуля кисти, чтобы выразить индивидуальность и дополнить стиль пользователя.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Применение косметической внешней оболочки НЕ предусматривается 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Ладонь и кончики пальцев оснащены противоскользящими силиконовыми накладками. Возможна опция с токопроводящими напальчниками для работы с сенсорными экранами. </w:t>
            </w:r>
          </w:p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lastRenderedPageBreak/>
              <w:t>Управление: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Управление протезом происходит за счет регистрации на поверхности кожи предплечья </w:t>
            </w:r>
            <w:proofErr w:type="spell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электромиографического</w:t>
            </w:r>
            <w:proofErr w:type="spell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сигнала посредством </w:t>
            </w:r>
            <w:proofErr w:type="spell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миодатчиков</w:t>
            </w:r>
            <w:proofErr w:type="spell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, </w:t>
            </w:r>
            <w:proofErr w:type="gram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расположенных</w:t>
            </w:r>
            <w:proofErr w:type="gram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во внутренней гильзе.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Управление протезом - одно/двухканальное</w:t>
            </w:r>
          </w:p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Питание: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 качестве источника энергии служит заряжаемый, несъемный литий-ионный аккумулятор с защитой от перезаряда.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Зарядка - стандартный разъем USB-Type C. </w:t>
            </w:r>
            <w:proofErr w:type="spell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Светоиндикация</w:t>
            </w:r>
            <w:proofErr w:type="spell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 xml:space="preserve"> процесса зарядки.</w:t>
            </w:r>
          </w:p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Гильзы: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Приёмная гильза изготавливается из мягких смол (</w:t>
            </w:r>
            <w:proofErr w:type="spellStart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термолин</w:t>
            </w:r>
            <w:proofErr w:type="spellEnd"/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) или силикона. Удержание протеза на культе за счет ее костной части и объема мягких тканей.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Внешняя гильза изготавливается по индивидуальной приемной гильзе с применением 3D сканирования и печати SLS из полиамида.</w:t>
            </w:r>
          </w:p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</w:rPr>
            </w:pPr>
            <w:r w:rsidRPr="006840D2">
              <w:rPr>
                <w:rFonts w:ascii="Times New Roman" w:eastAsia="Montserrat" w:hAnsi="Times New Roman" w:cs="Times New Roman"/>
                <w:b/>
                <w:kern w:val="1"/>
              </w:rPr>
              <w:t xml:space="preserve">Технические характеристики протеза </w:t>
            </w:r>
          </w:p>
          <w:tbl>
            <w:tblPr>
              <w:tblpPr w:leftFromText="180" w:rightFromText="180" w:vertAnchor="text" w:horzAnchor="margin" w:tblpY="175"/>
              <w:tblOverlap w:val="never"/>
              <w:tblW w:w="6440" w:type="dxa"/>
              <w:tblBorders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2970"/>
              <w:gridCol w:w="963"/>
              <w:gridCol w:w="627"/>
              <w:gridCol w:w="627"/>
              <w:gridCol w:w="627"/>
              <w:gridCol w:w="626"/>
            </w:tblGrid>
            <w:tr w:rsidR="00EC31F9" w:rsidRPr="006840D2" w:rsidTr="003665ED">
              <w:trPr>
                <w:trHeight w:val="214"/>
              </w:trPr>
              <w:tc>
                <w:tcPr>
                  <w:tcW w:w="3053" w:type="pct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Типоразмер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S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M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L</w:t>
                  </w:r>
                </w:p>
              </w:tc>
              <w:tc>
                <w:tcPr>
                  <w:tcW w:w="48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  <w:t>XL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ед.изм</w:t>
                  </w: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  <w:tc>
                <w:tcPr>
                  <w:tcW w:w="48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56" w:lineRule="auto"/>
                    <w:rPr>
                      <w:rFonts w:ascii="Times New Roman" w:eastAsia="Montserrat" w:hAnsi="Times New Roman" w:cs="Times New Roman"/>
                      <w:b/>
                      <w:kern w:val="1"/>
                    </w:rPr>
                  </w:pP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Ширина раскрытия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мм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145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148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152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155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Максимальное усилие схвата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кгс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</w:t>
                  </w:r>
                </w:p>
              </w:tc>
            </w:tr>
            <w:tr w:rsidR="00EC31F9" w:rsidRPr="006840D2" w:rsidTr="003665ED">
              <w:trPr>
                <w:trHeight w:val="368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Максимальная масса переносимых предметов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кг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2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Скорость схвата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мм/с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Класс пылевлагозащиты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IP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55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Рабочее напряжение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В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7.4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Емкость АКБ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А*ч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1200/2600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Количество схватов на полном заряде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800/1200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Диапазон рабочих температур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С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-10...+40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Время полной зарядки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ч</w:t>
                  </w:r>
                </w:p>
              </w:tc>
              <w:tc>
                <w:tcPr>
                  <w:tcW w:w="1947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2 / 3</w:t>
                  </w:r>
                </w:p>
              </w:tc>
            </w:tr>
            <w:tr w:rsidR="00EC31F9" w:rsidRPr="006840D2" w:rsidTr="003665ED">
              <w:trPr>
                <w:trHeight w:val="214"/>
              </w:trPr>
              <w:tc>
                <w:tcPr>
                  <w:tcW w:w="230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Масса модуля кисти</w:t>
                  </w:r>
                </w:p>
              </w:tc>
              <w:tc>
                <w:tcPr>
                  <w:tcW w:w="7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грамм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  <w:tc>
                <w:tcPr>
                  <w:tcW w:w="48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:rsidR="00EC31F9" w:rsidRPr="006840D2" w:rsidRDefault="00EC31F9" w:rsidP="006840D2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Montserrat" w:hAnsi="Times New Roman" w:cs="Times New Roman"/>
                      <w:kern w:val="1"/>
                    </w:rPr>
                  </w:pPr>
                  <w:r w:rsidRPr="006840D2">
                    <w:rPr>
                      <w:rFonts w:ascii="Times New Roman" w:eastAsia="Montserrat" w:hAnsi="Times New Roman" w:cs="Times New Roman"/>
                      <w:kern w:val="1"/>
                    </w:rPr>
                    <w:t>от 700</w:t>
                  </w:r>
                </w:p>
              </w:tc>
            </w:tr>
          </w:tbl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b/>
                <w:kern w:val="1"/>
                <w:sz w:val="20"/>
                <w:szCs w:val="20"/>
              </w:rPr>
              <w:t>Комплект поставки включает: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Модули пальцев - 1-5шт.;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Аккумулятор - 1шт;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Система управления - 1шт;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Зарядное устройство - 1шт;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Средство по уходу за кожей -1шт;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Руководство по эксплуатации – 1 шт.;</w:t>
            </w:r>
          </w:p>
          <w:p w:rsidR="00EC31F9" w:rsidRPr="006840D2" w:rsidRDefault="00EC31F9" w:rsidP="006840D2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</w:pPr>
            <w:r w:rsidRPr="006840D2">
              <w:rPr>
                <w:rFonts w:ascii="Times New Roman" w:eastAsia="Montserrat" w:hAnsi="Times New Roman" w:cs="Times New Roman"/>
                <w:kern w:val="1"/>
                <w:sz w:val="20"/>
                <w:szCs w:val="20"/>
              </w:rPr>
              <w:t>Протез может  комплектоваться модулем отправки телеметрии.</w:t>
            </w:r>
          </w:p>
          <w:p w:rsidR="00EC31F9" w:rsidRPr="006840D2" w:rsidRDefault="00EC31F9" w:rsidP="006840D2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1F9" w:rsidRPr="006840D2" w:rsidRDefault="00EC31F9" w:rsidP="006840D2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</w:pPr>
            <w:r w:rsidRPr="006840D2">
              <w:rPr>
                <w:rFonts w:ascii="Times New Roman" w:eastAsia="Andale Sans UI" w:hAnsi="Times New Roman" w:cs="Times New Roman"/>
                <w:b/>
                <w:kern w:val="1"/>
                <w:lang w:eastAsia="ru-RU"/>
              </w:rPr>
              <w:lastRenderedPageBreak/>
              <w:t>1</w:t>
            </w:r>
          </w:p>
        </w:tc>
      </w:tr>
    </w:tbl>
    <w:p w:rsidR="006840D2" w:rsidRPr="006840D2" w:rsidRDefault="006840D2" w:rsidP="006840D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6840D2" w:rsidRPr="006840D2" w:rsidRDefault="006840D2" w:rsidP="006840D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Технические и функциональные характеристики работ: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Выполняемые работы по обеспечению Пострадавших протезами верхних конечностей   содержат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Работы по проведению комплекса медицинских, технических и организационных мероприятий,   направлены на частичное восстановление опорно-двигательных функций и устранение косметических дефектов верхних конечностей пострадавших с помощью протезов.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</w:t>
      </w: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Требования к упаковке и отгрузке изделия: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При необходимости отправка протезов к месту нахождения Пострадавшего  осуществляется с соблюдением требований ГОСТ 20790-93 «Приборы аппараты и оборудование медицинские. Общие технические условия»,  "ГОСТ Р 51632-2021. Технические средства реабилитации людей с ограничениями жизнедеятельности. Общие технические 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требования и методы испытаний" к маркировке, упаковке, хранению и транспортировке.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Упаковка протезов верхних конечностей   обеспечивает защиту от повреждений, порчи (изнашивания) или загрязнения во время хранения и транспортировки к месту использования  по назначению.</w:t>
      </w:r>
      <w:r w:rsidRPr="006840D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left="284" w:right="-57"/>
        <w:jc w:val="both"/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 xml:space="preserve">                                  Требования к безопасности </w:t>
      </w: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изделия</w:t>
      </w:r>
      <w:r w:rsidRPr="006840D2">
        <w:rPr>
          <w:rFonts w:ascii="Times New Roman" w:eastAsia="Andale Sans UI" w:hAnsi="Times New Roman" w:cs="Times New Roman"/>
          <w:b/>
          <w:bCs/>
          <w:iCs/>
          <w:kern w:val="1"/>
          <w:sz w:val="24"/>
          <w:szCs w:val="24"/>
        </w:rPr>
        <w:t>: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 w:firstLine="284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Регистрационное удостоверение и (или) действующая декларация о соответствии или сертификат соответствия поставляемого Товара, либо иные документы, свидетельствующие о качестве и безопасности Товара, в случае, если на поставляемый Товар в соответствии с законодательством Российской Федерации необходимо наличие указанных документов.</w:t>
      </w:r>
    </w:p>
    <w:p w:rsidR="006840D2" w:rsidRPr="006840D2" w:rsidRDefault="006840D2" w:rsidP="006840D2">
      <w:pPr>
        <w:keepNext/>
        <w:widowControl w:val="0"/>
        <w:shd w:val="clear" w:color="auto" w:fill="FFFFFF"/>
        <w:suppressAutoHyphens/>
        <w:spacing w:after="0" w:line="240" w:lineRule="auto"/>
        <w:ind w:right="-55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                        </w:t>
      </w:r>
      <w:proofErr w:type="gramStart"/>
      <w:r w:rsidRPr="006840D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Документы</w:t>
      </w:r>
      <w:proofErr w:type="gramEnd"/>
      <w:r w:rsidRPr="006840D2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 по стандартизации применяемые к данному ТСР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: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ГОСТ ISO 10993-1-2021 -  «Изделия медицинские. Оценка биологического действия медицинских изделий. Часть 1. Оценка и исследования».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10993-5-2011- «Изделия медицинские. Оценка биологического действия медицинских изделий. Часть 5. Исследования на </w:t>
      </w:r>
      <w:proofErr w:type="spell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цитотоксичность</w:t>
      </w:r>
      <w:proofErr w:type="spell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: методы 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in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vitro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».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  <w:lang w:val="en-US"/>
        </w:rPr>
        <w:t>ISO</w:t>
      </w: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10993-10-2011-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52770-2016- «Изделия медицинские. Требования безопасности. Методы санитарн</w:t>
      </w:r>
      <w:proofErr w:type="gram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о-</w:t>
      </w:r>
      <w:proofErr w:type="gram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химических  и токсикологических испытаний». 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51632-2021–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6840D2" w:rsidRPr="006840D2" w:rsidRDefault="006840D2" w:rsidP="006840D2">
      <w:pPr>
        <w:widowControl w:val="0"/>
        <w:suppressAutoHyphens/>
        <w:spacing w:after="0" w:line="240" w:lineRule="auto"/>
        <w:ind w:right="-57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ГОСТ </w:t>
      </w:r>
      <w:proofErr w:type="gram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Р</w:t>
      </w:r>
      <w:proofErr w:type="gram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ИСО 22523-2007- «Протезы конечностей и </w:t>
      </w:r>
      <w:proofErr w:type="spellStart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ортезы</w:t>
      </w:r>
      <w:proofErr w:type="spellEnd"/>
      <w:r w:rsidRPr="006840D2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 xml:space="preserve"> наружные. Требования и методы испытаний».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  Требования к</w:t>
      </w:r>
      <w:r w:rsidRPr="006840D2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срокам предоставления гарантии качества работ: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Гарантийный срок на протезы верхних конечностей - не менее 12 месяцев.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В течение этого срока предприятие-изготовитель производит замену или ремонт изделия бесплатно.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Срок службы изделия, установленный предприятием изготовителем, должен составлять: </w:t>
      </w:r>
    </w:p>
    <w:p w:rsidR="006840D2" w:rsidRDefault="006840D2" w:rsidP="006840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-п</w:t>
      </w:r>
      <w:r w:rsidRPr="006840D2">
        <w:rPr>
          <w:rFonts w:ascii="Times New Roman" w:eastAsia="Andale Sans UI" w:hAnsi="Times New Roman" w:cs="Times New Roman"/>
          <w:kern w:val="2"/>
          <w:sz w:val="24"/>
          <w:szCs w:val="24"/>
        </w:rPr>
        <w:t>ротез кисти с микропроцессорным управлением,</w:t>
      </w:r>
      <w:r w:rsidRPr="006840D2">
        <w:rPr>
          <w:rFonts w:ascii="Times New Roman" w:eastAsia="Andale Sans UI" w:hAnsi="Times New Roman" w:cs="Times New Roman"/>
          <w:kern w:val="2"/>
        </w:rPr>
        <w:t xml:space="preserve"> в том числе при вычленении и частичном вычленении кисти</w:t>
      </w:r>
      <w:r w:rsidRPr="006840D2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– 2 (два) года.</w:t>
      </w:r>
    </w:p>
    <w:p w:rsidR="00034EF5" w:rsidRPr="001F7696" w:rsidRDefault="00034EF5" w:rsidP="00034EF5">
      <w:pPr>
        <w:pStyle w:val="Standard"/>
        <w:ind w:firstLine="426"/>
        <w:jc w:val="both"/>
        <w:rPr>
          <w:rFonts w:ascii="Times New Roman" w:hAnsi="Times New Roman"/>
          <w:color w:val="000000"/>
        </w:rPr>
      </w:pPr>
      <w:r w:rsidRPr="00034EF5">
        <w:rPr>
          <w:rFonts w:ascii="Times New Roman" w:hAnsi="Times New Roman"/>
          <w:color w:val="000000"/>
        </w:rPr>
        <w:t>Требования к гарантийному обслуживанию:</w:t>
      </w:r>
      <w:r w:rsidRPr="001F7696">
        <w:rPr>
          <w:rFonts w:ascii="Times New Roman" w:hAnsi="Times New Roman"/>
          <w:b/>
          <w:color w:val="000000"/>
        </w:rPr>
        <w:t xml:space="preserve"> </w:t>
      </w:r>
      <w:r w:rsidRPr="001F7696">
        <w:rPr>
          <w:rFonts w:ascii="Times New Roman" w:hAnsi="Times New Roman"/>
          <w:color w:val="000000"/>
        </w:rPr>
        <w:t>срок гарантийного ремонта не должен превышать 20 рабочих дней со дня обращения.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</w:t>
      </w:r>
      <w:r w:rsidRPr="006840D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Требования к результатам выполненных работ:</w:t>
      </w:r>
    </w:p>
    <w:p w:rsidR="006840D2" w:rsidRPr="006840D2" w:rsidRDefault="006840D2" w:rsidP="006840D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Работы по обеспечению застрахованных лиц протезами верхних конечностей, протезно-ортопедическими изделиями следует считать эффективно исполненными, если у застрахованного лица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 Работы по обеспечению застрахованных лиц протезами должны быть выполнены с надлежащим качеством и в установленные сроки.</w:t>
      </w:r>
    </w:p>
    <w:p w:rsidR="006840D2" w:rsidRPr="006840D2" w:rsidRDefault="006840D2" w:rsidP="006840D2">
      <w:pPr>
        <w:widowControl w:val="0"/>
        <w:shd w:val="clear" w:color="auto" w:fill="FFFFFF"/>
        <w:suppressAutoHyphens/>
        <w:spacing w:after="0" w:line="240" w:lineRule="auto"/>
        <w:ind w:left="-142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Форма, сроки, условия и порядок оплаты выполненных работ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6840D2" w:rsidRPr="006840D2" w:rsidRDefault="006840D2" w:rsidP="006840D2">
      <w:pPr>
        <w:widowControl w:val="0"/>
        <w:shd w:val="clear" w:color="auto" w:fill="FFFFFF"/>
        <w:suppressAutoHyphens/>
        <w:spacing w:after="0" w:line="240" w:lineRule="auto"/>
        <w:ind w:left="-142" w:firstLine="84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>Оплата работ по обеспечению  протезами</w:t>
      </w:r>
      <w:r w:rsidRPr="006840D2">
        <w:rPr>
          <w:rFonts w:ascii="Times New Roman" w:eastAsia="Andale Sans UI" w:hAnsi="Times New Roman" w:cs="Times New Roman"/>
          <w:spacing w:val="-4"/>
          <w:kern w:val="1"/>
          <w:sz w:val="24"/>
          <w:szCs w:val="24"/>
        </w:rPr>
        <w:t xml:space="preserve">, протезно-ортопедическими изделиями должна </w:t>
      </w:r>
      <w:r w:rsidRPr="006840D2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осуществляться на основании предоставленных исполнителем счетов с приложением к ним реестров застрахованных, обеспеченных изделиями,  документов, подтверждающих получение изделий застрахованными. </w:t>
      </w:r>
      <w:r w:rsidRPr="006840D2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ru-RU"/>
        </w:rPr>
        <w:t>Оплата будет произведена по безналичному расчету с лицевого счета Заказчика на расчетный счет Исполнителя. Перечисление денежных средств осуществляется в течение 7 (семи) рабочих дней с момента получения Заказчиком счетов и надлежащим образом оформленных отчётных документов.</w:t>
      </w:r>
    </w:p>
    <w:p w:rsidR="003A07F9" w:rsidRPr="006840D2" w:rsidRDefault="00167791"/>
    <w:sectPr w:rsidR="003A07F9" w:rsidRPr="006840D2" w:rsidSect="000610B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180F"/>
    <w:multiLevelType w:val="multilevel"/>
    <w:tmpl w:val="5E94E684"/>
    <w:lvl w:ilvl="0">
      <w:start w:val="1"/>
      <w:numFmt w:val="bullet"/>
      <w:lvlText w:val="●"/>
      <w:lvlJc w:val="left"/>
      <w:pPr>
        <w:ind w:left="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425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566" w:hanging="359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EA"/>
    <w:rsid w:val="00034EF5"/>
    <w:rsid w:val="00167791"/>
    <w:rsid w:val="006840D2"/>
    <w:rsid w:val="00AD3773"/>
    <w:rsid w:val="00C27313"/>
    <w:rsid w:val="00CC69EA"/>
    <w:rsid w:val="00E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E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4EF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Тапикова Виолетта Олеговна</dc:creator>
  <cp:keywords/>
  <dc:description/>
  <cp:lastModifiedBy>Тапикова Виолетта Олеговна</cp:lastModifiedBy>
  <cp:revision>5</cp:revision>
  <dcterms:created xsi:type="dcterms:W3CDTF">2022-08-26T04:56:00Z</dcterms:created>
  <dcterms:modified xsi:type="dcterms:W3CDTF">2022-08-26T05:16:00Z</dcterms:modified>
</cp:coreProperties>
</file>