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570687" w:rsidRDefault="001C416F" w:rsidP="00C53D63">
      <w:pPr>
        <w:keepNext/>
        <w:widowControl w:val="0"/>
        <w:suppressAutoHyphens w:val="0"/>
        <w:ind w:firstLine="709"/>
        <w:jc w:val="right"/>
        <w:rPr>
          <w:bCs/>
        </w:rPr>
      </w:pPr>
      <w:r w:rsidRPr="00570687">
        <w:rPr>
          <w:bCs/>
        </w:rPr>
        <w:t>Приложение № 1</w:t>
      </w:r>
    </w:p>
    <w:p w:rsidR="001C416F" w:rsidRPr="00570687" w:rsidRDefault="001C416F" w:rsidP="00C53D63">
      <w:pPr>
        <w:keepNext/>
        <w:widowControl w:val="0"/>
        <w:suppressAutoHyphens w:val="0"/>
        <w:ind w:firstLine="709"/>
        <w:jc w:val="right"/>
      </w:pPr>
      <w:r w:rsidRPr="00570687">
        <w:rPr>
          <w:bCs/>
        </w:rPr>
        <w:t xml:space="preserve">к </w:t>
      </w:r>
      <w:r w:rsidRPr="00570687">
        <w:t>извещению о проведении</w:t>
      </w:r>
    </w:p>
    <w:p w:rsidR="001C416F" w:rsidRPr="00570687" w:rsidRDefault="001C416F" w:rsidP="00C53D63">
      <w:pPr>
        <w:keepNext/>
        <w:widowControl w:val="0"/>
        <w:suppressAutoHyphens w:val="0"/>
        <w:ind w:firstLine="709"/>
        <w:jc w:val="right"/>
        <w:rPr>
          <w:lang w:eastAsia="ru-RU"/>
        </w:rPr>
      </w:pPr>
      <w:r w:rsidRPr="00570687">
        <w:t xml:space="preserve">открытого </w:t>
      </w:r>
      <w:r w:rsidRPr="00570687">
        <w:rPr>
          <w:lang w:eastAsia="ru-RU"/>
        </w:rPr>
        <w:t>аукциона</w:t>
      </w:r>
    </w:p>
    <w:p w:rsidR="001C416F" w:rsidRPr="00570687" w:rsidRDefault="001C416F" w:rsidP="00C53D63">
      <w:pPr>
        <w:keepNext/>
        <w:widowControl w:val="0"/>
        <w:suppressAutoHyphens w:val="0"/>
        <w:ind w:firstLine="709"/>
        <w:jc w:val="right"/>
        <w:rPr>
          <w:b/>
        </w:rPr>
      </w:pPr>
      <w:r w:rsidRPr="00570687">
        <w:rPr>
          <w:lang w:eastAsia="ru-RU"/>
        </w:rPr>
        <w:t>в электронной форме</w:t>
      </w:r>
    </w:p>
    <w:p w:rsidR="00971A3D" w:rsidRPr="00570687" w:rsidRDefault="00971A3D" w:rsidP="00C53D63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C53D63">
      <w:pPr>
        <w:keepNext/>
        <w:widowControl w:val="0"/>
        <w:suppressAutoHyphens w:val="0"/>
        <w:ind w:firstLine="709"/>
        <w:jc w:val="center"/>
        <w:rPr>
          <w:b/>
        </w:rPr>
      </w:pPr>
      <w:r w:rsidRPr="00570687">
        <w:rPr>
          <w:b/>
        </w:rPr>
        <w:t>Описание объекта закупки</w:t>
      </w:r>
    </w:p>
    <w:p w:rsidR="00471978" w:rsidRDefault="00471978" w:rsidP="00C53D63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471978" w:rsidRPr="00570687" w:rsidRDefault="00471978" w:rsidP="00C53D63">
      <w:pPr>
        <w:keepNext/>
        <w:widowControl w:val="0"/>
        <w:suppressAutoHyphens w:val="0"/>
        <w:ind w:firstLine="709"/>
        <w:jc w:val="center"/>
        <w:rPr>
          <w:b/>
        </w:rPr>
      </w:pPr>
      <w:r>
        <w:rPr>
          <w:b/>
        </w:rPr>
        <w:t>(Технические требования)</w:t>
      </w:r>
    </w:p>
    <w:p w:rsidR="001C416F" w:rsidRPr="00570687" w:rsidRDefault="001C416F" w:rsidP="00C53D63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C53D63">
      <w:pPr>
        <w:keepNext/>
        <w:widowControl w:val="0"/>
        <w:suppressAutoHyphens w:val="0"/>
        <w:ind w:firstLine="851"/>
        <w:jc w:val="both"/>
      </w:pPr>
      <w:r w:rsidRPr="00570687">
        <w:t xml:space="preserve">Наименование объекта закупки: </w:t>
      </w:r>
      <w:r w:rsidR="00A0092F" w:rsidRPr="00570687">
        <w:t>Поставка технических средств реабилитации (Подгузники для взрослых) для обеспечения в 2024 году Получателей</w:t>
      </w:r>
      <w:r w:rsidR="00615300" w:rsidRPr="00570687">
        <w:t>.</w:t>
      </w:r>
    </w:p>
    <w:p w:rsidR="001C7277" w:rsidRPr="00570687" w:rsidRDefault="001C7277" w:rsidP="00C53D63">
      <w:pPr>
        <w:keepNext/>
        <w:widowControl w:val="0"/>
        <w:suppressAutoHyphens w:val="0"/>
        <w:ind w:firstLine="851"/>
        <w:jc w:val="both"/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700"/>
        <w:gridCol w:w="1150"/>
        <w:gridCol w:w="840"/>
        <w:gridCol w:w="1441"/>
        <w:gridCol w:w="3486"/>
        <w:gridCol w:w="1602"/>
      </w:tblGrid>
      <w:tr w:rsidR="004134DF" w:rsidRPr="00796960" w:rsidTr="0056007B">
        <w:tc>
          <w:tcPr>
            <w:tcW w:w="541" w:type="dxa"/>
          </w:tcPr>
          <w:p w:rsidR="004134DF" w:rsidRPr="00796960" w:rsidRDefault="004134DF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№</w:t>
            </w:r>
          </w:p>
          <w:p w:rsidR="004134DF" w:rsidRPr="00796960" w:rsidRDefault="004134DF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969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6960">
              <w:rPr>
                <w:sz w:val="20"/>
                <w:szCs w:val="20"/>
              </w:rPr>
              <w:t>/</w:t>
            </w:r>
            <w:proofErr w:type="spellStart"/>
            <w:r w:rsidRPr="007969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</w:tcPr>
          <w:p w:rsidR="004134DF" w:rsidRPr="00796960" w:rsidRDefault="004134DF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50" w:type="dxa"/>
          </w:tcPr>
          <w:p w:rsidR="00054F6A" w:rsidRPr="00796960" w:rsidRDefault="00054F6A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КТРУ/</w:t>
            </w:r>
          </w:p>
          <w:p w:rsidR="004134DF" w:rsidRPr="00796960" w:rsidRDefault="00054F6A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ОКПД</w:t>
            </w:r>
            <w:proofErr w:type="gramStart"/>
            <w:r w:rsidRPr="0079696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40" w:type="dxa"/>
          </w:tcPr>
          <w:p w:rsidR="004134DF" w:rsidRPr="00796960" w:rsidRDefault="004134DF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Кол-во,</w:t>
            </w:r>
          </w:p>
          <w:p w:rsidR="004134DF" w:rsidRPr="00796960" w:rsidRDefault="004134DF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шт.</w:t>
            </w:r>
          </w:p>
        </w:tc>
        <w:tc>
          <w:tcPr>
            <w:tcW w:w="1441" w:type="dxa"/>
          </w:tcPr>
          <w:p w:rsidR="004134DF" w:rsidRPr="00796960" w:rsidRDefault="004134DF" w:rsidP="0056007B">
            <w:pPr>
              <w:keepNext/>
              <w:widowControl w:val="0"/>
              <w:suppressAutoHyphens w:val="0"/>
              <w:ind w:left="-80" w:right="-77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486" w:type="dxa"/>
          </w:tcPr>
          <w:p w:rsidR="004134DF" w:rsidRPr="00796960" w:rsidRDefault="004134DF" w:rsidP="0056007B">
            <w:pPr>
              <w:keepNext/>
              <w:widowControl w:val="0"/>
              <w:suppressAutoHyphens w:val="0"/>
              <w:ind w:left="-83" w:right="-78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02" w:type="dxa"/>
          </w:tcPr>
          <w:p w:rsidR="004134DF" w:rsidRPr="00796960" w:rsidRDefault="004134DF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4134DF" w:rsidRPr="00796960" w:rsidRDefault="004134DF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в заявке</w:t>
            </w:r>
          </w:p>
        </w:tc>
      </w:tr>
      <w:tr w:rsidR="001C7277" w:rsidRPr="00796960" w:rsidTr="0056007B">
        <w:tc>
          <w:tcPr>
            <w:tcW w:w="541" w:type="dxa"/>
            <w:vMerge w:val="restart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  <w:vMerge w:val="restart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Наименование по коду КТРУ: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Подгузники для взрослых 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796960" w:rsidRPr="00796960" w:rsidRDefault="00796960" w:rsidP="0056007B">
            <w:pPr>
              <w:keepNext/>
              <w:widowControl w:val="0"/>
              <w:suppressAutoHyphens w:val="0"/>
              <w:ind w:left="-78" w:right="-8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17.22.12.130-00000001/</w:t>
            </w:r>
          </w:p>
          <w:p w:rsidR="00796960" w:rsidRPr="00796960" w:rsidRDefault="001C7277" w:rsidP="0056007B">
            <w:pPr>
              <w:keepNext/>
              <w:widowControl w:val="0"/>
              <w:suppressAutoHyphens w:val="0"/>
              <w:ind w:left="-78" w:right="-8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17.22.12.130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7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1C7277" w:rsidRPr="00796960" w:rsidRDefault="003C67BE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</w:rPr>
            </w:pPr>
            <w:r w:rsidRPr="00796960">
              <w:rPr>
                <w:color w:val="000000"/>
                <w:sz w:val="20"/>
                <w:szCs w:val="20"/>
              </w:rPr>
              <w:t>321 853</w:t>
            </w: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от 13.02.2018 г. № 86н:</w:t>
            </w:r>
          </w:p>
        </w:tc>
        <w:tc>
          <w:tcPr>
            <w:tcW w:w="3486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Подгузники для взрослых, размер «XS»</w:t>
            </w:r>
          </w:p>
          <w:p w:rsidR="00796960" w:rsidRDefault="001C7277" w:rsidP="0056007B">
            <w:pPr>
              <w:keepNext/>
              <w:widowControl w:val="0"/>
              <w:suppressAutoHyphens w:val="0"/>
              <w:ind w:left="-83" w:right="-78" w:firstLine="21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(объем талии/бедер до 60 см), 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firstLine="21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с полным влагопоглощением не менее 1000 г.</w:t>
            </w:r>
          </w:p>
        </w:tc>
        <w:tc>
          <w:tcPr>
            <w:tcW w:w="1602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1C7277" w:rsidRPr="00796960" w:rsidTr="0056007B">
        <w:tc>
          <w:tcPr>
            <w:tcW w:w="541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486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796960">
              <w:rPr>
                <w:sz w:val="20"/>
                <w:szCs w:val="20"/>
              </w:rPr>
              <w:t>Р</w:t>
            </w:r>
            <w:proofErr w:type="gramEnd"/>
            <w:r w:rsidRPr="00796960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влагопоглощающие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вещества (</w:t>
            </w:r>
            <w:proofErr w:type="spellStart"/>
            <w:r w:rsidRPr="00796960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796960">
              <w:rPr>
                <w:rFonts w:ascii="Times New Roman" w:hAnsi="Times New Roman" w:cs="Times New Roman"/>
              </w:rPr>
              <w:t>).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Должны отсутствовать следы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выщипывания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волокон с поверхности </w:t>
            </w:r>
            <w:r w:rsidRPr="00796960">
              <w:rPr>
                <w:rFonts w:ascii="Times New Roman" w:hAnsi="Times New Roman" w:cs="Times New Roman"/>
              </w:rPr>
              <w:lastRenderedPageBreak/>
              <w:t xml:space="preserve">подгузника и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отмарывания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краски.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796960">
              <w:rPr>
                <w:rFonts w:ascii="Times New Roman" w:hAnsi="Times New Roman" w:cs="Times New Roman"/>
              </w:rPr>
              <w:t>Р</w:t>
            </w:r>
            <w:proofErr w:type="gramEnd"/>
            <w:r w:rsidRPr="00796960">
              <w:rPr>
                <w:rFonts w:ascii="Times New Roman" w:hAnsi="Times New Roman" w:cs="Times New Roman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6" w:history="1">
              <w:r w:rsidRPr="00796960">
                <w:rPr>
                  <w:rFonts w:ascii="Times New Roman" w:hAnsi="Times New Roman" w:cs="Times New Roman"/>
                </w:rPr>
                <w:t>ГОСТ 15.009</w:t>
              </w:r>
            </w:hyperlink>
            <w:r w:rsidRPr="00796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1C7277" w:rsidRPr="00796960" w:rsidTr="0056007B">
        <w:tc>
          <w:tcPr>
            <w:tcW w:w="541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486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proofErr w:type="gramStart"/>
            <w:r w:rsidRPr="00796960">
              <w:rPr>
                <w:sz w:val="20"/>
                <w:szCs w:val="20"/>
              </w:rPr>
              <w:t>Конструкцию, линейные размеры подгузников (включая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796960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b/>
                <w:sz w:val="20"/>
                <w:szCs w:val="20"/>
              </w:rPr>
              <w:t xml:space="preserve"> </w:t>
            </w:r>
            <w:r w:rsidRPr="00796960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796960">
              <w:rPr>
                <w:sz w:val="20"/>
                <w:szCs w:val="20"/>
              </w:rPr>
              <w:t>Р</w:t>
            </w:r>
            <w:proofErr w:type="gramEnd"/>
            <w:r w:rsidRPr="00796960">
              <w:rPr>
                <w:sz w:val="20"/>
                <w:szCs w:val="20"/>
              </w:rPr>
              <w:t xml:space="preserve"> 55082-2012.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Продукция должна иметь Регистрационные удостоверения на медицинское изделие, выданные </w:t>
            </w:r>
            <w:proofErr w:type="spellStart"/>
            <w:r w:rsidRPr="00796960">
              <w:rPr>
                <w:sz w:val="20"/>
                <w:szCs w:val="20"/>
              </w:rPr>
              <w:t>Росздравнадзором</w:t>
            </w:r>
            <w:proofErr w:type="spellEnd"/>
            <w:r w:rsidRPr="00796960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1C7277" w:rsidRPr="00796960" w:rsidTr="0056007B">
        <w:tc>
          <w:tcPr>
            <w:tcW w:w="541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0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486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верхний покровный слой;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распределительный слой;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защитный слой;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нижний покровный слой;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барьерные элементы;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фиксирующие элементы;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602" w:type="dxa"/>
          </w:tcPr>
          <w:p w:rsidR="0056007B" w:rsidRDefault="00181985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Участник закупки указывает в заявке конкретное значение характеристики   </w:t>
            </w:r>
          </w:p>
          <w:p w:rsidR="008B0520" w:rsidRPr="00796960" w:rsidRDefault="008B0520" w:rsidP="0056007B">
            <w:pPr>
              <w:keepNext/>
              <w:widowControl w:val="0"/>
              <w:suppressAutoHyphens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796960">
              <w:rPr>
                <w:i/>
                <w:sz w:val="20"/>
                <w:szCs w:val="20"/>
              </w:rPr>
              <w:t xml:space="preserve">(в соответствии с Приложением №3 </w:t>
            </w:r>
            <w:r w:rsidRPr="00796960">
              <w:rPr>
                <w:bCs/>
                <w:i/>
                <w:sz w:val="20"/>
                <w:szCs w:val="20"/>
              </w:rPr>
              <w:t xml:space="preserve">к </w:t>
            </w:r>
            <w:r w:rsidRPr="00796960">
              <w:rPr>
                <w:i/>
                <w:sz w:val="20"/>
                <w:szCs w:val="20"/>
              </w:rPr>
              <w:t>извещению о проведении</w:t>
            </w:r>
            <w:proofErr w:type="gramEnd"/>
          </w:p>
          <w:p w:rsidR="008B0520" w:rsidRPr="00796960" w:rsidRDefault="008B0520" w:rsidP="0056007B">
            <w:pPr>
              <w:keepNext/>
              <w:widowControl w:val="0"/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796960">
              <w:rPr>
                <w:i/>
                <w:sz w:val="20"/>
                <w:szCs w:val="20"/>
              </w:rPr>
              <w:t xml:space="preserve">открытого </w:t>
            </w:r>
            <w:r w:rsidRPr="00796960">
              <w:rPr>
                <w:i/>
                <w:sz w:val="20"/>
                <w:szCs w:val="20"/>
                <w:lang w:eastAsia="ru-RU"/>
              </w:rPr>
              <w:t>аукциона</w:t>
            </w:r>
          </w:p>
          <w:p w:rsidR="001C7277" w:rsidRPr="00796960" w:rsidRDefault="008B0520" w:rsidP="0056007B">
            <w:pPr>
              <w:keepNext/>
              <w:widowControl w:val="0"/>
              <w:suppressAutoHyphens w:val="0"/>
              <w:ind w:right="-69" w:hanging="142"/>
              <w:jc w:val="center"/>
              <w:rPr>
                <w:b/>
                <w:bCs/>
                <w:sz w:val="20"/>
                <w:szCs w:val="20"/>
              </w:rPr>
            </w:pPr>
            <w:r w:rsidRPr="00796960">
              <w:rPr>
                <w:i/>
                <w:sz w:val="20"/>
                <w:szCs w:val="20"/>
                <w:lang w:eastAsia="ru-RU"/>
              </w:rPr>
              <w:t>в электронной форме</w:t>
            </w:r>
            <w:r w:rsidRPr="00796960">
              <w:rPr>
                <w:bCs/>
                <w:i/>
                <w:sz w:val="20"/>
                <w:szCs w:val="20"/>
              </w:rPr>
              <w:t xml:space="preserve"> «Требования к содержанию, составу заявки на участие в закупке в соответствии с </w:t>
            </w:r>
            <w:r w:rsidRPr="00796960">
              <w:rPr>
                <w:i/>
                <w:sz w:val="20"/>
                <w:szCs w:val="20"/>
              </w:rPr>
              <w:t xml:space="preserve">Федеральным законом от </w:t>
            </w:r>
            <w:r w:rsidRPr="00796960">
              <w:rPr>
                <w:i/>
                <w:sz w:val="20"/>
                <w:szCs w:val="20"/>
              </w:rPr>
              <w:lastRenderedPageBreak/>
              <w:t>05.04.2013 № 44-ФЗ</w:t>
            </w:r>
            <w:r w:rsidRPr="00796960">
              <w:rPr>
                <w:bCs/>
                <w:i/>
                <w:sz w:val="20"/>
                <w:szCs w:val="20"/>
              </w:rPr>
              <w:t xml:space="preserve"> </w:t>
            </w:r>
            <w:r w:rsidRPr="00796960">
              <w:rPr>
                <w:i/>
                <w:sz w:val="20"/>
                <w:szCs w:val="20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796960">
              <w:rPr>
                <w:bCs/>
                <w:i/>
                <w:sz w:val="20"/>
                <w:szCs w:val="20"/>
              </w:rPr>
              <w:t>и инструкция по ее заполнению»</w:t>
            </w:r>
            <w:r w:rsidR="00C543F6" w:rsidRPr="00796960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1C7277" w:rsidRPr="00796960" w:rsidTr="0056007B">
        <w:tc>
          <w:tcPr>
            <w:tcW w:w="541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Описание отдельных элементов подгузников</w:t>
            </w:r>
          </w:p>
        </w:tc>
        <w:tc>
          <w:tcPr>
            <w:tcW w:w="3486" w:type="dxa"/>
            <w:vAlign w:val="center"/>
          </w:tcPr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                        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 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Нижний покровный слой: Слой, который расположен за защитным слоем подгузника и соприкасается с одеждой человека или простыней.  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>Фиксирующие элементы: Детали подгузника на его передней и задней частях для фиксации его в нужном положении и закрепления на талии человека (застежк</w:t>
            </w:r>
            <w:proofErr w:type="gramStart"/>
            <w:r w:rsidRPr="00796960">
              <w:rPr>
                <w:rFonts w:ascii="Times New Roman" w:hAnsi="Times New Roman" w:cs="Times New Roman"/>
              </w:rPr>
              <w:t>и-</w:t>
            </w:r>
            <w:proofErr w:type="gramEnd"/>
            <w:r w:rsidRPr="00796960">
              <w:rPr>
                <w:rFonts w:ascii="Times New Roman" w:hAnsi="Times New Roman" w:cs="Times New Roman"/>
              </w:rPr>
              <w:t xml:space="preserve">"липучки").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6960">
              <w:rPr>
                <w:rFonts w:ascii="Times New Roman" w:hAnsi="Times New Roman" w:cs="Times New Roman"/>
              </w:rPr>
              <w:t>Суперабсорбент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: Химическое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влагопоглощающее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602" w:type="dxa"/>
          </w:tcPr>
          <w:p w:rsidR="008B0520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796960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  <w:r w:rsidR="008B0520" w:rsidRPr="00796960">
              <w:rPr>
                <w:sz w:val="20"/>
                <w:szCs w:val="20"/>
              </w:rPr>
              <w:t xml:space="preserve">   </w:t>
            </w:r>
            <w:r w:rsidR="008B0520" w:rsidRPr="00796960">
              <w:rPr>
                <w:i/>
                <w:sz w:val="20"/>
                <w:szCs w:val="20"/>
              </w:rPr>
              <w:t xml:space="preserve">(в соответствии с Приложением №3 </w:t>
            </w:r>
            <w:r w:rsidR="008B0520" w:rsidRPr="00796960">
              <w:rPr>
                <w:bCs/>
                <w:i/>
                <w:sz w:val="20"/>
                <w:szCs w:val="20"/>
              </w:rPr>
              <w:t xml:space="preserve">к </w:t>
            </w:r>
            <w:r w:rsidR="008B0520" w:rsidRPr="00796960">
              <w:rPr>
                <w:i/>
                <w:sz w:val="20"/>
                <w:szCs w:val="20"/>
              </w:rPr>
              <w:t>извещению о проведении</w:t>
            </w:r>
            <w:proofErr w:type="gramEnd"/>
          </w:p>
          <w:p w:rsidR="008B0520" w:rsidRPr="00796960" w:rsidRDefault="008B0520" w:rsidP="0056007B">
            <w:pPr>
              <w:keepNext/>
              <w:widowControl w:val="0"/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796960">
              <w:rPr>
                <w:i/>
                <w:sz w:val="20"/>
                <w:szCs w:val="20"/>
              </w:rPr>
              <w:t xml:space="preserve">открытого </w:t>
            </w:r>
            <w:r w:rsidRPr="00796960">
              <w:rPr>
                <w:i/>
                <w:sz w:val="20"/>
                <w:szCs w:val="20"/>
                <w:lang w:eastAsia="ru-RU"/>
              </w:rPr>
              <w:t>аукциона</w:t>
            </w:r>
          </w:p>
          <w:p w:rsidR="008B0520" w:rsidRPr="00796960" w:rsidRDefault="008B0520" w:rsidP="0056007B">
            <w:pPr>
              <w:keepNext/>
              <w:widowControl w:val="0"/>
              <w:suppressAutoHyphens w:val="0"/>
              <w:ind w:right="-69" w:hanging="1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96960">
              <w:rPr>
                <w:i/>
                <w:sz w:val="20"/>
                <w:szCs w:val="20"/>
                <w:lang w:eastAsia="ru-RU"/>
              </w:rPr>
              <w:t>в электронной форме</w:t>
            </w:r>
            <w:r w:rsidRPr="00796960">
              <w:rPr>
                <w:bCs/>
                <w:i/>
                <w:sz w:val="20"/>
                <w:szCs w:val="20"/>
              </w:rPr>
              <w:t xml:space="preserve"> «Требования к содержанию, составу заявки на участие в закупке в соответствии с </w:t>
            </w:r>
            <w:r w:rsidRPr="00796960">
              <w:rPr>
                <w:i/>
                <w:sz w:val="20"/>
                <w:szCs w:val="20"/>
              </w:rPr>
              <w:t>Федеральным законом от 05.04.2013 № 44-ФЗ</w:t>
            </w:r>
            <w:r w:rsidRPr="00796960">
              <w:rPr>
                <w:bCs/>
                <w:i/>
                <w:sz w:val="20"/>
                <w:szCs w:val="20"/>
              </w:rPr>
              <w:t xml:space="preserve"> </w:t>
            </w:r>
            <w:r w:rsidRPr="00796960">
              <w:rPr>
                <w:i/>
                <w:sz w:val="20"/>
                <w:szCs w:val="20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796960">
              <w:rPr>
                <w:bCs/>
                <w:i/>
                <w:sz w:val="20"/>
                <w:szCs w:val="20"/>
              </w:rPr>
              <w:t>и инструкция по ее заполнению»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1C7277" w:rsidRPr="00796960" w:rsidTr="0056007B">
        <w:tc>
          <w:tcPr>
            <w:tcW w:w="541" w:type="dxa"/>
            <w:vMerge w:val="restart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2.</w:t>
            </w:r>
          </w:p>
        </w:tc>
        <w:tc>
          <w:tcPr>
            <w:tcW w:w="1700" w:type="dxa"/>
            <w:vMerge w:val="restart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Наименование по коду КТРУ: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Подгузники для взрослых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796960" w:rsidRPr="00796960" w:rsidRDefault="00796960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lastRenderedPageBreak/>
              <w:t>17.22.12.130-00000001</w:t>
            </w:r>
            <w:r>
              <w:rPr>
                <w:sz w:val="20"/>
                <w:szCs w:val="20"/>
              </w:rPr>
              <w:t>/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17.22.12.130</w:t>
            </w:r>
          </w:p>
        </w:tc>
        <w:tc>
          <w:tcPr>
            <w:tcW w:w="840" w:type="dxa"/>
            <w:vMerge w:val="restart"/>
          </w:tcPr>
          <w:p w:rsidR="001C7277" w:rsidRPr="00796960" w:rsidRDefault="003C67BE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</w:rPr>
            </w:pPr>
            <w:r w:rsidRPr="00796960">
              <w:rPr>
                <w:color w:val="000000"/>
                <w:sz w:val="20"/>
                <w:szCs w:val="20"/>
              </w:rPr>
              <w:t>262 832</w:t>
            </w: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Наименование технического средства реабилитации </w:t>
            </w:r>
            <w:r w:rsidRPr="00796960">
              <w:rPr>
                <w:sz w:val="20"/>
                <w:szCs w:val="20"/>
              </w:rPr>
              <w:lastRenderedPageBreak/>
              <w:t>по Приказу Министерства труда и социальной защиты Российской Федерации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от 13.02.2018 г. № 86н:</w:t>
            </w:r>
          </w:p>
        </w:tc>
        <w:tc>
          <w:tcPr>
            <w:tcW w:w="3486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lastRenderedPageBreak/>
              <w:t>Подгузники для взрослых, размер «XS»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(объем талии/бедер до 60 см), с полным влагопоглощением не менее 1200 г.</w:t>
            </w:r>
          </w:p>
        </w:tc>
        <w:tc>
          <w:tcPr>
            <w:tcW w:w="1602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Значение характеристики не может изменяться </w:t>
            </w:r>
            <w:r w:rsidRPr="00796960">
              <w:rPr>
                <w:sz w:val="20"/>
                <w:szCs w:val="20"/>
              </w:rPr>
              <w:lastRenderedPageBreak/>
              <w:t>участником закупки</w:t>
            </w:r>
          </w:p>
        </w:tc>
      </w:tr>
      <w:tr w:rsidR="001C7277" w:rsidRPr="00796960" w:rsidTr="0056007B">
        <w:tc>
          <w:tcPr>
            <w:tcW w:w="541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486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796960">
              <w:rPr>
                <w:sz w:val="20"/>
                <w:szCs w:val="20"/>
              </w:rPr>
              <w:t>Р</w:t>
            </w:r>
            <w:proofErr w:type="gramEnd"/>
            <w:r w:rsidRPr="00796960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влагопоглощающие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вещества (</w:t>
            </w:r>
            <w:proofErr w:type="spellStart"/>
            <w:r w:rsidRPr="00796960">
              <w:rPr>
                <w:rFonts w:ascii="Times New Roman" w:hAnsi="Times New Roman" w:cs="Times New Roman"/>
              </w:rPr>
              <w:t>суперабсорбенты</w:t>
            </w:r>
            <w:proofErr w:type="spellEnd"/>
            <w:r w:rsidRPr="00796960">
              <w:rPr>
                <w:rFonts w:ascii="Times New Roman" w:hAnsi="Times New Roman" w:cs="Times New Roman"/>
              </w:rPr>
              <w:t>).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Должны отсутствовать следы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выщипывания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волокон с поверхности подгузника и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отмарывания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краски. </w:t>
            </w:r>
          </w:p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796960">
              <w:rPr>
                <w:rFonts w:ascii="Times New Roman" w:hAnsi="Times New Roman" w:cs="Times New Roman"/>
              </w:rPr>
              <w:t>Р</w:t>
            </w:r>
            <w:proofErr w:type="gramEnd"/>
            <w:r w:rsidRPr="00796960">
              <w:rPr>
                <w:rFonts w:ascii="Times New Roman" w:hAnsi="Times New Roman" w:cs="Times New Roman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7" w:history="1">
              <w:r w:rsidRPr="00796960">
                <w:rPr>
                  <w:rFonts w:ascii="Times New Roman" w:hAnsi="Times New Roman" w:cs="Times New Roman"/>
                </w:rPr>
                <w:t>ГОСТ 15.009</w:t>
              </w:r>
            </w:hyperlink>
            <w:r w:rsidRPr="00796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1C7277" w:rsidRPr="00796960" w:rsidTr="0056007B">
        <w:tc>
          <w:tcPr>
            <w:tcW w:w="541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486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proofErr w:type="gramStart"/>
            <w:r w:rsidRPr="00796960">
              <w:rPr>
                <w:sz w:val="20"/>
                <w:szCs w:val="20"/>
              </w:rPr>
              <w:t xml:space="preserve">Конструкцию, линейные размеры подгузников (включая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</w:t>
            </w:r>
            <w:r w:rsidRPr="00796960">
              <w:rPr>
                <w:sz w:val="20"/>
                <w:szCs w:val="20"/>
              </w:rPr>
              <w:lastRenderedPageBreak/>
              <w:t>оборках в виде дуги через пах и барьерах, техническое и декоративное исполнение указывают</w:t>
            </w:r>
            <w:proofErr w:type="gramEnd"/>
            <w:r w:rsidRPr="00796960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b/>
                <w:sz w:val="20"/>
                <w:szCs w:val="20"/>
              </w:rPr>
              <w:t xml:space="preserve"> </w:t>
            </w:r>
            <w:r w:rsidRPr="00796960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796960">
              <w:rPr>
                <w:sz w:val="20"/>
                <w:szCs w:val="20"/>
              </w:rPr>
              <w:t>Р</w:t>
            </w:r>
            <w:proofErr w:type="gramEnd"/>
            <w:r w:rsidRPr="00796960">
              <w:rPr>
                <w:sz w:val="20"/>
                <w:szCs w:val="20"/>
              </w:rPr>
              <w:t xml:space="preserve"> 55082-2012.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jc w:val="both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 xml:space="preserve">Продукция должна иметь Регистрационные удостоверения на медицинское изделие, выданные </w:t>
            </w:r>
            <w:proofErr w:type="spellStart"/>
            <w:r w:rsidRPr="00796960">
              <w:rPr>
                <w:sz w:val="20"/>
                <w:szCs w:val="20"/>
              </w:rPr>
              <w:t>Росздравнадзором</w:t>
            </w:r>
            <w:proofErr w:type="spellEnd"/>
            <w:r w:rsidRPr="00796960">
              <w:rPr>
                <w:sz w:val="20"/>
                <w:szCs w:val="20"/>
              </w:rPr>
              <w:t>.</w:t>
            </w:r>
          </w:p>
        </w:tc>
        <w:tc>
          <w:tcPr>
            <w:tcW w:w="1602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1C7277" w:rsidRPr="00796960" w:rsidTr="0056007B">
        <w:tc>
          <w:tcPr>
            <w:tcW w:w="541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486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верхний покровный слой;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распределительный слой;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защитный слой;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нижний покровный слой;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барьерные элементы;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фиксирующие элементы;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1C7277" w:rsidRPr="00796960" w:rsidRDefault="001C7277" w:rsidP="0056007B">
            <w:pPr>
              <w:keepNext/>
              <w:widowControl w:val="0"/>
              <w:suppressAutoHyphens w:val="0"/>
              <w:ind w:left="-83" w:right="-78" w:hanging="4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602" w:type="dxa"/>
          </w:tcPr>
          <w:p w:rsidR="008B0520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796960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  <w:r w:rsidR="008B0520" w:rsidRPr="00796960">
              <w:rPr>
                <w:sz w:val="20"/>
                <w:szCs w:val="20"/>
              </w:rPr>
              <w:t xml:space="preserve"> </w:t>
            </w:r>
            <w:r w:rsidR="00181985" w:rsidRPr="00796960">
              <w:rPr>
                <w:i/>
                <w:sz w:val="20"/>
                <w:szCs w:val="20"/>
              </w:rPr>
              <w:t>(</w:t>
            </w:r>
            <w:r w:rsidR="008B0520" w:rsidRPr="00796960">
              <w:rPr>
                <w:i/>
                <w:sz w:val="20"/>
                <w:szCs w:val="20"/>
              </w:rPr>
              <w:t xml:space="preserve">в соответствии с Приложением №3 </w:t>
            </w:r>
            <w:r w:rsidR="008B0520" w:rsidRPr="00796960">
              <w:rPr>
                <w:bCs/>
                <w:i/>
                <w:sz w:val="20"/>
                <w:szCs w:val="20"/>
              </w:rPr>
              <w:t xml:space="preserve">к </w:t>
            </w:r>
            <w:r w:rsidR="008B0520" w:rsidRPr="00796960">
              <w:rPr>
                <w:i/>
                <w:sz w:val="20"/>
                <w:szCs w:val="20"/>
              </w:rPr>
              <w:t>извещению о проведении</w:t>
            </w:r>
            <w:proofErr w:type="gramEnd"/>
          </w:p>
          <w:p w:rsidR="008B0520" w:rsidRPr="00796960" w:rsidRDefault="008B0520" w:rsidP="0056007B">
            <w:pPr>
              <w:keepNext/>
              <w:widowControl w:val="0"/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796960">
              <w:rPr>
                <w:i/>
                <w:sz w:val="20"/>
                <w:szCs w:val="20"/>
              </w:rPr>
              <w:t xml:space="preserve">открытого </w:t>
            </w:r>
            <w:r w:rsidRPr="00796960">
              <w:rPr>
                <w:i/>
                <w:sz w:val="20"/>
                <w:szCs w:val="20"/>
                <w:lang w:eastAsia="ru-RU"/>
              </w:rPr>
              <w:t>аукциона</w:t>
            </w:r>
          </w:p>
          <w:p w:rsidR="001C7277" w:rsidRPr="00796960" w:rsidRDefault="008B0520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96960">
              <w:rPr>
                <w:i/>
                <w:sz w:val="20"/>
                <w:szCs w:val="20"/>
                <w:lang w:eastAsia="ru-RU"/>
              </w:rPr>
              <w:t>в электронной форме</w:t>
            </w:r>
            <w:r w:rsidRPr="00796960">
              <w:rPr>
                <w:bCs/>
                <w:i/>
                <w:sz w:val="20"/>
                <w:szCs w:val="20"/>
              </w:rPr>
              <w:t xml:space="preserve"> «Требования к содержанию, составу заявки на участие в закупке в соответствии с </w:t>
            </w:r>
            <w:r w:rsidRPr="00796960">
              <w:rPr>
                <w:i/>
                <w:sz w:val="20"/>
                <w:szCs w:val="20"/>
              </w:rPr>
              <w:t>Федеральным законом от 05.04.2013 № 44-ФЗ</w:t>
            </w:r>
            <w:r w:rsidRPr="00796960">
              <w:rPr>
                <w:bCs/>
                <w:i/>
                <w:sz w:val="20"/>
                <w:szCs w:val="20"/>
              </w:rPr>
              <w:t xml:space="preserve"> </w:t>
            </w:r>
            <w:r w:rsidRPr="00796960">
              <w:rPr>
                <w:i/>
                <w:sz w:val="20"/>
                <w:szCs w:val="20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796960">
              <w:rPr>
                <w:bCs/>
                <w:i/>
                <w:sz w:val="20"/>
                <w:szCs w:val="20"/>
              </w:rPr>
              <w:t>и инструкция по ее заполнению»</w:t>
            </w:r>
            <w:r w:rsidR="00181985" w:rsidRPr="00796960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1C7277" w:rsidRPr="00796960" w:rsidTr="0056007B">
        <w:tc>
          <w:tcPr>
            <w:tcW w:w="541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C7277" w:rsidRPr="00796960" w:rsidRDefault="001C7277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Описание отдельных элементов подгузников</w:t>
            </w:r>
          </w:p>
        </w:tc>
        <w:tc>
          <w:tcPr>
            <w:tcW w:w="3486" w:type="dxa"/>
            <w:vAlign w:val="center"/>
          </w:tcPr>
          <w:p w:rsidR="001C7277" w:rsidRPr="00796960" w:rsidRDefault="001C7277" w:rsidP="0056007B">
            <w:pPr>
              <w:pStyle w:val="ConsPlusNormal"/>
              <w:keepNext/>
              <w:suppressAutoHyphens w:val="0"/>
              <w:ind w:left="-83" w:right="-78" w:hanging="4"/>
              <w:jc w:val="both"/>
              <w:rPr>
                <w:rFonts w:ascii="Times New Roman" w:hAnsi="Times New Roman" w:cs="Times New Roman"/>
              </w:rPr>
            </w:pPr>
            <w:r w:rsidRPr="00796960">
              <w:rPr>
                <w:rFonts w:ascii="Times New Roman" w:hAnsi="Times New Roman" w:cs="Times New Roman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Распределительный слой: Слой, который расположен за верхним покровным слоем подгузника и </w:t>
            </w:r>
            <w:r w:rsidRPr="00796960">
              <w:rPr>
                <w:rFonts w:ascii="Times New Roman" w:hAnsi="Times New Roman" w:cs="Times New Roman"/>
              </w:rPr>
              <w:lastRenderedPageBreak/>
              <w:t>способствует равномерному распределению жидкости внутри подгузника. 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Защитный слой: Слой, который расположен непосредственно за абсорбирующим слоем подгузника и предотвращает проникновение жидкости наружу. Нижний покровный слой: Слой, который расположен за защитным слоем подгузника и соприкасается с одеждой человека или простыней. 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Фиксирующие элементы: Детали подгузника на его передней и задней частях для фиксации его в нужном положении и закрепления на талии человека (застежк</w:t>
            </w:r>
            <w:proofErr w:type="gramStart"/>
            <w:r w:rsidRPr="00796960">
              <w:rPr>
                <w:rFonts w:ascii="Times New Roman" w:hAnsi="Times New Roman" w:cs="Times New Roman"/>
              </w:rPr>
              <w:t>и-</w:t>
            </w:r>
            <w:proofErr w:type="gramEnd"/>
            <w:r w:rsidRPr="00796960">
              <w:rPr>
                <w:rFonts w:ascii="Times New Roman" w:hAnsi="Times New Roman" w:cs="Times New Roman"/>
              </w:rPr>
              <w:t xml:space="preserve">"липучки").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  <w:proofErr w:type="spellStart"/>
            <w:r w:rsidRPr="00796960">
              <w:rPr>
                <w:rFonts w:ascii="Times New Roman" w:hAnsi="Times New Roman" w:cs="Times New Roman"/>
              </w:rPr>
              <w:t>Суперабсорбент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: Химическое </w:t>
            </w:r>
            <w:proofErr w:type="spellStart"/>
            <w:r w:rsidRPr="00796960">
              <w:rPr>
                <w:rFonts w:ascii="Times New Roman" w:hAnsi="Times New Roman" w:cs="Times New Roman"/>
              </w:rPr>
              <w:t>влагопоглощающее</w:t>
            </w:r>
            <w:proofErr w:type="spellEnd"/>
            <w:r w:rsidRPr="00796960">
              <w:rPr>
                <w:rFonts w:ascii="Times New Roman" w:hAnsi="Times New Roman" w:cs="Times New Roman"/>
              </w:rPr>
              <w:t xml:space="preserve">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602" w:type="dxa"/>
          </w:tcPr>
          <w:p w:rsidR="008B0520" w:rsidRPr="00796960" w:rsidRDefault="008B0520" w:rsidP="0056007B">
            <w:pPr>
              <w:keepNext/>
              <w:widowControl w:val="0"/>
              <w:suppressAutoHyphens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796960">
              <w:rPr>
                <w:sz w:val="20"/>
                <w:szCs w:val="20"/>
              </w:rPr>
              <w:lastRenderedPageBreak/>
              <w:t xml:space="preserve">Участник закупки указывает в заявке конкретное значение характеристики   </w:t>
            </w:r>
            <w:r w:rsidRPr="00796960">
              <w:rPr>
                <w:i/>
                <w:sz w:val="20"/>
                <w:szCs w:val="20"/>
              </w:rPr>
              <w:lastRenderedPageBreak/>
              <w:t xml:space="preserve">(в соответствии с Приложением №3 </w:t>
            </w:r>
            <w:r w:rsidRPr="00796960">
              <w:rPr>
                <w:bCs/>
                <w:i/>
                <w:sz w:val="20"/>
                <w:szCs w:val="20"/>
              </w:rPr>
              <w:t xml:space="preserve">к </w:t>
            </w:r>
            <w:r w:rsidRPr="00796960">
              <w:rPr>
                <w:i/>
                <w:sz w:val="20"/>
                <w:szCs w:val="20"/>
              </w:rPr>
              <w:t>извещению о проведении</w:t>
            </w:r>
            <w:proofErr w:type="gramEnd"/>
          </w:p>
          <w:p w:rsidR="008B0520" w:rsidRPr="00796960" w:rsidRDefault="008B0520" w:rsidP="0056007B">
            <w:pPr>
              <w:keepNext/>
              <w:widowControl w:val="0"/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796960">
              <w:rPr>
                <w:i/>
                <w:sz w:val="20"/>
                <w:szCs w:val="20"/>
              </w:rPr>
              <w:t xml:space="preserve">открытого </w:t>
            </w:r>
            <w:r w:rsidRPr="00796960">
              <w:rPr>
                <w:i/>
                <w:sz w:val="20"/>
                <w:szCs w:val="20"/>
                <w:lang w:eastAsia="ru-RU"/>
              </w:rPr>
              <w:t>аукциона</w:t>
            </w:r>
          </w:p>
          <w:p w:rsidR="001C7277" w:rsidRPr="00796960" w:rsidRDefault="008B0520" w:rsidP="0056007B">
            <w:pPr>
              <w:keepNext/>
              <w:widowControl w:val="0"/>
              <w:suppressAutoHyphens w:val="0"/>
              <w:ind w:right="-69" w:hanging="142"/>
              <w:jc w:val="center"/>
              <w:rPr>
                <w:b/>
                <w:bCs/>
                <w:sz w:val="20"/>
                <w:szCs w:val="20"/>
              </w:rPr>
            </w:pPr>
            <w:r w:rsidRPr="00796960">
              <w:rPr>
                <w:i/>
                <w:sz w:val="20"/>
                <w:szCs w:val="20"/>
                <w:lang w:eastAsia="ru-RU"/>
              </w:rPr>
              <w:t>в электронной форме</w:t>
            </w:r>
            <w:r w:rsidRPr="00796960">
              <w:rPr>
                <w:bCs/>
                <w:i/>
                <w:sz w:val="20"/>
                <w:szCs w:val="20"/>
              </w:rPr>
              <w:t xml:space="preserve"> «Требования к содержанию, составу заявки на участие в закупке в соответствии с </w:t>
            </w:r>
            <w:r w:rsidRPr="00796960">
              <w:rPr>
                <w:i/>
                <w:sz w:val="20"/>
                <w:szCs w:val="20"/>
              </w:rPr>
              <w:t>Федеральным законом от 05.04.2013 № 44-ФЗ</w:t>
            </w:r>
            <w:r w:rsidRPr="00796960">
              <w:rPr>
                <w:bCs/>
                <w:i/>
                <w:sz w:val="20"/>
                <w:szCs w:val="20"/>
              </w:rPr>
              <w:t xml:space="preserve"> </w:t>
            </w:r>
            <w:r w:rsidRPr="00796960">
              <w:rPr>
                <w:i/>
                <w:sz w:val="20"/>
                <w:szCs w:val="20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796960">
              <w:rPr>
                <w:bCs/>
                <w:i/>
                <w:sz w:val="20"/>
                <w:szCs w:val="20"/>
              </w:rPr>
              <w:t>и инструкция по ее заполнению»</w:t>
            </w:r>
            <w:r w:rsidR="00181985" w:rsidRPr="00796960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FE6C5B" w:rsidRPr="00796960" w:rsidTr="0056007B">
        <w:tc>
          <w:tcPr>
            <w:tcW w:w="541" w:type="dxa"/>
            <w:vAlign w:val="center"/>
          </w:tcPr>
          <w:p w:rsidR="00FE6C5B" w:rsidRPr="00796960" w:rsidRDefault="00FE6C5B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E6C5B" w:rsidRPr="00796960" w:rsidRDefault="00FE6C5B" w:rsidP="0056007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796960">
              <w:rPr>
                <w:sz w:val="20"/>
                <w:szCs w:val="20"/>
              </w:rPr>
              <w:t>Итого:</w:t>
            </w:r>
          </w:p>
        </w:tc>
        <w:tc>
          <w:tcPr>
            <w:tcW w:w="1150" w:type="dxa"/>
            <w:vAlign w:val="center"/>
          </w:tcPr>
          <w:p w:rsidR="00FE6C5B" w:rsidRPr="00796960" w:rsidRDefault="00FE6C5B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6C5B" w:rsidRPr="00796960" w:rsidRDefault="003C67BE" w:rsidP="0056007B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</w:rPr>
            </w:pPr>
            <w:r w:rsidRPr="00796960">
              <w:rPr>
                <w:color w:val="000000"/>
                <w:sz w:val="20"/>
                <w:szCs w:val="20"/>
              </w:rPr>
              <w:t>584 685</w:t>
            </w:r>
          </w:p>
        </w:tc>
        <w:tc>
          <w:tcPr>
            <w:tcW w:w="1441" w:type="dxa"/>
          </w:tcPr>
          <w:p w:rsidR="00FE6C5B" w:rsidRPr="00796960" w:rsidRDefault="00FE6C5B" w:rsidP="0056007B">
            <w:pPr>
              <w:keepNext/>
              <w:widowControl w:val="0"/>
              <w:suppressAutoHyphens w:val="0"/>
              <w:ind w:left="-80" w:right="-77"/>
              <w:rPr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FE6C5B" w:rsidRPr="00796960" w:rsidRDefault="00FE6C5B" w:rsidP="0056007B">
            <w:pPr>
              <w:pStyle w:val="ConsPlusNormal"/>
              <w:keepNext/>
              <w:suppressAutoHyphens w:val="0"/>
              <w:ind w:left="-83" w:right="-78" w:firstLine="2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FE6C5B" w:rsidRPr="00796960" w:rsidRDefault="00FE6C5B" w:rsidP="0056007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</w:tbl>
    <w:p w:rsidR="00C53D63" w:rsidRDefault="00C53D63" w:rsidP="00C53D63">
      <w:pPr>
        <w:keepNext/>
        <w:widowControl w:val="0"/>
        <w:suppressAutoHyphens w:val="0"/>
        <w:ind w:right="-117"/>
        <w:jc w:val="both"/>
        <w:rPr>
          <w:b/>
          <w:i/>
          <w:color w:val="000000" w:themeColor="text1"/>
          <w:vertAlign w:val="superscript"/>
        </w:rPr>
      </w:pPr>
      <w:r>
        <w:rPr>
          <w:b/>
          <w:i/>
          <w:color w:val="000000" w:themeColor="text1"/>
          <w:vertAlign w:val="superscript"/>
        </w:rPr>
        <w:t xml:space="preserve">               </w:t>
      </w:r>
    </w:p>
    <w:p w:rsidR="00734777" w:rsidRDefault="00734777" w:rsidP="00734777">
      <w:pPr>
        <w:keepNext/>
        <w:widowControl w:val="0"/>
        <w:suppressAutoHyphens w:val="0"/>
        <w:ind w:right="-285"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Количество товара, поставляемого в субъекты Российской Федерации, в соответствии с приложением к Описанию объекта закупки - документ прикреплен отдельным файлом.</w:t>
      </w:r>
    </w:p>
    <w:p w:rsidR="004D65D9" w:rsidRDefault="004D65D9" w:rsidP="00C53D63">
      <w:pPr>
        <w:keepNext/>
        <w:widowControl w:val="0"/>
        <w:suppressAutoHyphens w:val="0"/>
        <w:ind w:right="-117" w:firstLine="709"/>
        <w:jc w:val="both"/>
      </w:pPr>
    </w:p>
    <w:p w:rsidR="004D65D9" w:rsidRDefault="004D65D9" w:rsidP="00C53D63">
      <w:pPr>
        <w:keepNext/>
        <w:widowControl w:val="0"/>
        <w:suppressAutoHyphens w:val="0"/>
        <w:ind w:right="-117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4D65D9" w:rsidRDefault="004D65D9" w:rsidP="00C53D63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5D9" w:rsidRDefault="004D65D9" w:rsidP="00C53D63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>
        <w:rPr>
          <w:b/>
        </w:rPr>
        <w:t>Условия и срок поставки Товара</w:t>
      </w:r>
    </w:p>
    <w:p w:rsidR="004D65D9" w:rsidRDefault="004D65D9" w:rsidP="00C53D63">
      <w:pPr>
        <w:keepNext/>
        <w:widowControl w:val="0"/>
        <w:suppressAutoHyphens w:val="0"/>
        <w:ind w:right="-117" w:firstLine="709"/>
        <w:contextualSpacing/>
        <w:jc w:val="both"/>
      </w:pPr>
    </w:p>
    <w:p w:rsidR="004D65D9" w:rsidRDefault="004D65D9" w:rsidP="00C53D63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4D65D9" w:rsidRDefault="004D65D9" w:rsidP="00C53D63">
      <w:pPr>
        <w:keepNext/>
        <w:widowControl w:val="0"/>
        <w:suppressAutoHyphens w:val="0"/>
        <w:ind w:firstLine="709"/>
        <w:jc w:val="both"/>
      </w:pPr>
      <w: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4D65D9" w:rsidRPr="00796960" w:rsidRDefault="004D65D9" w:rsidP="00C53D63">
      <w:pPr>
        <w:keepNext/>
        <w:widowControl w:val="0"/>
        <w:suppressAutoHyphens w:val="0"/>
        <w:ind w:firstLine="709"/>
        <w:jc w:val="both"/>
      </w:pPr>
      <w:proofErr w:type="gramStart"/>
      <w: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приказом Министерства труда и социальной защиты Российской Федерации от 30 июля </w:t>
      </w:r>
      <w:r w:rsidRPr="00796960">
        <w:t>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796960">
        <w:t xml:space="preserve"> им при этом необходимой помощи".</w:t>
      </w:r>
    </w:p>
    <w:p w:rsidR="004D65D9" w:rsidRPr="00796960" w:rsidRDefault="004D65D9" w:rsidP="00C53D63">
      <w:pPr>
        <w:pStyle w:val="ac"/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60">
        <w:rPr>
          <w:rFonts w:ascii="Times New Roman" w:hAnsi="Times New Roman" w:cs="Times New Roman"/>
          <w:sz w:val="24"/>
          <w:szCs w:val="24"/>
        </w:rPr>
        <w:t>Срок поставки товара в субъект Российской Федерации:</w:t>
      </w:r>
    </w:p>
    <w:tbl>
      <w:tblPr>
        <w:tblStyle w:val="ad"/>
        <w:tblW w:w="10598" w:type="dxa"/>
        <w:tblLook w:val="04A0"/>
      </w:tblPr>
      <w:tblGrid>
        <w:gridCol w:w="396"/>
        <w:gridCol w:w="3310"/>
        <w:gridCol w:w="6892"/>
      </w:tblGrid>
      <w:tr w:rsidR="004D65D9" w:rsidRPr="00796960" w:rsidTr="0032608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C53D63">
            <w:pPr>
              <w:pStyle w:val="ac"/>
              <w:keepNext/>
              <w:widowControl w:val="0"/>
              <w:ind w:left="-721" w:right="-11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C53D63">
            <w:pPr>
              <w:pStyle w:val="ac"/>
              <w:keepNext/>
              <w:widowControl w:val="0"/>
              <w:ind w:left="-60" w:right="-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>30% от общего объема товара: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3C67BE">
            <w:pPr>
              <w:pStyle w:val="ac"/>
              <w:keepNext/>
              <w:widowControl w:val="0"/>
              <w:ind w:left="-69" w:right="-66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C67BE" w:rsidRPr="00796960"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3C67BE" w:rsidRPr="00796960">
              <w:rPr>
                <w:rFonts w:ascii="Times New Roman" w:hAnsi="Times New Roman" w:cs="Times New Roman"/>
                <w:sz w:val="24"/>
                <w:szCs w:val="24"/>
              </w:rPr>
              <w:t>едерального округа - в течение 2</w:t>
            </w: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>0 рабочих дней со дня вступления в силу государственного контракта.</w:t>
            </w:r>
          </w:p>
        </w:tc>
      </w:tr>
      <w:tr w:rsidR="004D65D9" w:rsidRPr="00796960" w:rsidTr="0032608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C53D63">
            <w:pPr>
              <w:pStyle w:val="ac"/>
              <w:keepNext/>
              <w:widowControl w:val="0"/>
              <w:ind w:left="-721" w:right="-11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C53D63">
            <w:pPr>
              <w:pStyle w:val="ac"/>
              <w:keepNext/>
              <w:widowControl w:val="0"/>
              <w:ind w:left="-60" w:right="-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>30% от общего объема товара: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C53D63">
            <w:pPr>
              <w:pStyle w:val="ac"/>
              <w:keepNext/>
              <w:widowControl w:val="0"/>
              <w:ind w:left="-69" w:right="-66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C67BE" w:rsidRPr="00796960"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 - до 01.04.2024 г.  </w:t>
            </w:r>
          </w:p>
        </w:tc>
      </w:tr>
      <w:tr w:rsidR="004D65D9" w:rsidRPr="00796960" w:rsidTr="0032608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C53D63">
            <w:pPr>
              <w:pStyle w:val="ac"/>
              <w:keepNext/>
              <w:widowControl w:val="0"/>
              <w:ind w:left="-721" w:right="-11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C53D63">
            <w:pPr>
              <w:pStyle w:val="ac"/>
              <w:keepNext/>
              <w:widowControl w:val="0"/>
              <w:ind w:left="-60" w:right="-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>оставшийся объем товара: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D9" w:rsidRPr="00796960" w:rsidRDefault="004D65D9" w:rsidP="00C53D63">
            <w:pPr>
              <w:pStyle w:val="ac"/>
              <w:keepNext/>
              <w:widowControl w:val="0"/>
              <w:ind w:left="-69" w:right="-66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C67BE" w:rsidRPr="00796960"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  <w:r w:rsidRPr="007969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 - до 01.06.2024 г.  </w:t>
            </w:r>
          </w:p>
        </w:tc>
      </w:tr>
    </w:tbl>
    <w:p w:rsidR="004D65D9" w:rsidRPr="00796960" w:rsidRDefault="004D65D9" w:rsidP="00C53D63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960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79696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96960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4D65D9" w:rsidRDefault="004D65D9" w:rsidP="00C53D63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960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D65D9" w:rsidRDefault="004D65D9" w:rsidP="00C53D63">
      <w:pPr>
        <w:keepNext/>
        <w:widowControl w:val="0"/>
        <w:tabs>
          <w:tab w:val="left" w:pos="284"/>
        </w:tabs>
        <w:suppressAutoHyphens w:val="0"/>
        <w:ind w:right="-11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D65D9" w:rsidRDefault="004D65D9" w:rsidP="00C53D63">
      <w:pPr>
        <w:keepNext/>
        <w:widowControl w:val="0"/>
        <w:suppressAutoHyphens w:val="0"/>
        <w:ind w:right="-117" w:firstLine="709"/>
        <w:contextualSpacing/>
        <w:jc w:val="both"/>
      </w:pPr>
    </w:p>
    <w:p w:rsidR="00AF3B56" w:rsidRDefault="00AF3B56" w:rsidP="00C53D63">
      <w:pPr>
        <w:keepNext/>
        <w:widowControl w:val="0"/>
        <w:suppressAutoHyphens w:val="0"/>
        <w:ind w:right="-117" w:firstLine="709"/>
        <w:jc w:val="center"/>
        <w:rPr>
          <w:b/>
        </w:rPr>
      </w:pPr>
      <w:r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AF3B56" w:rsidRDefault="00AF3B56" w:rsidP="00C53D63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B56" w:rsidRDefault="00AF3B56" w:rsidP="00C53D63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     ГОСТ </w:t>
      </w:r>
      <w:proofErr w:type="gramStart"/>
      <w:r>
        <w:t>Р</w:t>
      </w:r>
      <w:proofErr w:type="gramEnd"/>
      <w:r>
        <w:t xml:space="preserve"> ИСО 11948-1-2015 Национальный стандарт Российской Федерации «Подгузники для взрослых. Часть 1. Испытания изделия целиком», 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     ГОСТ </w:t>
      </w:r>
      <w:proofErr w:type="gramStart"/>
      <w:r>
        <w:t>Р</w:t>
      </w:r>
      <w:proofErr w:type="gramEnd"/>
      <w:r>
        <w:t xml:space="preserve"> 55082-2012 Национальный стандарт Российской Федерации «Изделия бумажные медицинского назначения. Подгузники для взрослых. Общие технические условия», 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     ГОСТ ИСО 10993-1-2021 Межгосударственный стандарт «Изделия медицинские. Оценка биологического действия медицинских изделий. Часть 1. Оценка и исследования», 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     ГОСТ ИСО 10993-5-2011 Межгосударственный стандарт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», 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     ГОСТ ИСО 10993-10-2011 Межгосударственный стандарт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     ГОСТ </w:t>
      </w:r>
      <w:proofErr w:type="gramStart"/>
      <w:r>
        <w:t>Р</w:t>
      </w:r>
      <w:proofErr w:type="gramEnd"/>
      <w:r>
        <w:t xml:space="preserve"> 57762-2021 Национальный стандарт Российской Федерации. Белье абсорбирующее. Общие технические условия.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безопасность для кожных покровов;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эстетичность;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комфортность;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простота пользования.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В товаре не допускаются внешние дефекты: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Не допускаются следы </w:t>
      </w:r>
      <w:proofErr w:type="spellStart"/>
      <w:r>
        <w:t>выщипывания</w:t>
      </w:r>
      <w:proofErr w:type="spellEnd"/>
      <w:r>
        <w:t xml:space="preserve"> волокон с поверхности товара  и </w:t>
      </w:r>
      <w:proofErr w:type="spellStart"/>
      <w:r>
        <w:t>отмарывание</w:t>
      </w:r>
      <w:proofErr w:type="spellEnd"/>
      <w:r>
        <w:t xml:space="preserve"> краски.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proofErr w:type="gramStart"/>
      <w: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lastRenderedPageBreak/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Маркировка и упаковка должны быть выполнены в соответствии с ГОСТ </w:t>
      </w:r>
      <w:proofErr w:type="gramStart"/>
      <w:r>
        <w:t>Р</w:t>
      </w:r>
      <w:proofErr w:type="gramEnd"/>
      <w:r>
        <w:t xml:space="preserve"> 50460-92 Государственный стандарт Российской Федерации «Знак соответствия при обязательной сертификации. Форма, размеры и технические требования».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отмарывание</w:t>
      </w:r>
      <w:proofErr w:type="spellEnd"/>
      <w:r>
        <w:t xml:space="preserve"> краски не допускается.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Маркировка упаковки товара должна включать следующую информацию, нанесенную на русском языке: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условное обозначение возрастной группы подгузника, размеры, предельно допустимую массу ребенка, номер подгузника (при необходимости);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наименование и вид (назначения) изделия;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наименование страны – изготовителя;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- наименование и местонахождение изготовителя (продавца, поставщика, уполномоченного лица), импортера, </w:t>
      </w:r>
      <w:proofErr w:type="spellStart"/>
      <w:r>
        <w:t>дистрибьютера</w:t>
      </w:r>
      <w:proofErr w:type="spellEnd"/>
      <w:r>
        <w:t>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номер артикула (при наличии);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количество товара в упаковке;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дату (месяц, год) изготовления;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срок годности, устанавливаемый изготовителем;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срок службы продукции (при необходимости);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- указания по утилизации подгузника: «Не бросать в канализацию» </w:t>
      </w:r>
      <w:proofErr w:type="gramStart"/>
      <w:r>
        <w:t>и(</w:t>
      </w:r>
      <w:proofErr w:type="gramEnd"/>
      <w:r>
        <w:t>или) рисунок, понятно отображающий эти указания;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штриховой код товара (при наличии);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товарный знак при наличии;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единый знак обращения на рынке;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правила по применению подгузника (в виде рисунков или текста);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информация о наличии специальных ингредиентов;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- отличительные характеристики подгузника в соответствии с </w:t>
      </w:r>
      <w:proofErr w:type="gramStart"/>
      <w:r>
        <w:t>техническим исполнением</w:t>
      </w:r>
      <w:proofErr w:type="gramEnd"/>
      <w:r>
        <w:t xml:space="preserve"> (в виде рисунков и / или текста);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- обозначение настоящего стандарта;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  <w: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F3B56" w:rsidRDefault="00AF3B56" w:rsidP="00C53D63">
      <w:pPr>
        <w:keepNext/>
        <w:widowControl w:val="0"/>
        <w:tabs>
          <w:tab w:val="left" w:pos="284"/>
        </w:tabs>
        <w:suppressAutoHyphens w:val="0"/>
        <w:ind w:firstLine="426"/>
        <w:jc w:val="both"/>
      </w:pPr>
    </w:p>
    <w:p w:rsidR="00AF3B56" w:rsidRDefault="00AF3B56" w:rsidP="00C53D63">
      <w:pPr>
        <w:pStyle w:val="aa"/>
        <w:keepNext/>
        <w:widowControl w:val="0"/>
        <w:tabs>
          <w:tab w:val="left" w:pos="426"/>
        </w:tabs>
        <w:suppressAutoHyphens w:val="0"/>
        <w:ind w:left="780"/>
        <w:rPr>
          <w:b/>
        </w:rPr>
      </w:pPr>
      <w:r>
        <w:rPr>
          <w:b/>
        </w:rPr>
        <w:t>5.Требования к сроку и (или) объёму предоставления гарантий качества Товара</w:t>
      </w:r>
    </w:p>
    <w:p w:rsidR="00AF3B56" w:rsidRDefault="00AF3B56" w:rsidP="00C53D63">
      <w:pPr>
        <w:keepNext/>
        <w:widowControl w:val="0"/>
        <w:suppressAutoHyphens w:val="0"/>
        <w:ind w:firstLine="426"/>
        <w:jc w:val="both"/>
      </w:pPr>
    </w:p>
    <w:p w:rsidR="00AF3B56" w:rsidRDefault="00AF3B56" w:rsidP="00C53D63">
      <w:pPr>
        <w:keepNext/>
        <w:widowControl w:val="0"/>
        <w:suppressAutoHyphens w:val="0"/>
        <w:ind w:firstLine="426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AF3B56" w:rsidRDefault="00AF3B56" w:rsidP="00C53D63">
      <w:pPr>
        <w:keepNext/>
        <w:widowControl w:val="0"/>
        <w:suppressAutoHyphens w:val="0"/>
        <w:ind w:firstLine="426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F3B56" w:rsidRDefault="00AF3B56" w:rsidP="00C53D63">
      <w:pPr>
        <w:keepNext/>
        <w:widowControl w:val="0"/>
        <w:suppressAutoHyphens w:val="0"/>
        <w:ind w:firstLine="426"/>
        <w:jc w:val="both"/>
      </w:pPr>
      <w:r>
        <w:t xml:space="preserve">В соответствии с Федеральным законом от 21.11.2011г. № 323-ФЗ «Об основах охраны здоровья </w:t>
      </w:r>
      <w:r>
        <w:lastRenderedPageBreak/>
        <w:t>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AF3B56" w:rsidRDefault="00AF3B56" w:rsidP="00C53D63">
      <w:pPr>
        <w:keepNext/>
        <w:widowControl w:val="0"/>
        <w:suppressAutoHyphens w:val="0"/>
        <w:ind w:firstLine="426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F3B56" w:rsidRDefault="00AF3B56" w:rsidP="00C53D63">
      <w:pPr>
        <w:keepNext/>
        <w:widowControl w:val="0"/>
        <w:suppressAutoHyphens w:val="0"/>
        <w:ind w:right="-242" w:firstLine="709"/>
        <w:contextualSpacing/>
        <w:jc w:val="both"/>
      </w:pPr>
    </w:p>
    <w:p w:rsidR="004D65D9" w:rsidRDefault="004D65D9" w:rsidP="00C53D63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</w:p>
    <w:p w:rsidR="00BC5A67" w:rsidRPr="009345E1" w:rsidRDefault="00BC5A67" w:rsidP="00C53D63">
      <w:pPr>
        <w:pStyle w:val="Style48"/>
        <w:keepNext/>
        <w:tabs>
          <w:tab w:val="left" w:pos="142"/>
          <w:tab w:val="left" w:pos="1430"/>
        </w:tabs>
        <w:spacing w:line="240" w:lineRule="auto"/>
        <w:ind w:right="10" w:firstLine="851"/>
      </w:pPr>
    </w:p>
    <w:sectPr w:rsidR="00BC5A67" w:rsidRPr="009345E1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521DF"/>
    <w:rsid w:val="00054F6A"/>
    <w:rsid w:val="00060D0F"/>
    <w:rsid w:val="00065348"/>
    <w:rsid w:val="00065385"/>
    <w:rsid w:val="0007458D"/>
    <w:rsid w:val="000C17DD"/>
    <w:rsid w:val="000E2CA6"/>
    <w:rsid w:val="000F1C97"/>
    <w:rsid w:val="001028CD"/>
    <w:rsid w:val="00106864"/>
    <w:rsid w:val="001133E1"/>
    <w:rsid w:val="001163A4"/>
    <w:rsid w:val="0012482F"/>
    <w:rsid w:val="00125BC2"/>
    <w:rsid w:val="001413C4"/>
    <w:rsid w:val="00142531"/>
    <w:rsid w:val="00165C7B"/>
    <w:rsid w:val="00170795"/>
    <w:rsid w:val="00170C89"/>
    <w:rsid w:val="001716C4"/>
    <w:rsid w:val="00175E5D"/>
    <w:rsid w:val="00176C7B"/>
    <w:rsid w:val="0017769E"/>
    <w:rsid w:val="00181985"/>
    <w:rsid w:val="0019166B"/>
    <w:rsid w:val="001A0329"/>
    <w:rsid w:val="001C416F"/>
    <w:rsid w:val="001C7277"/>
    <w:rsid w:val="001E0C0F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462F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22F0B"/>
    <w:rsid w:val="00323E28"/>
    <w:rsid w:val="00326087"/>
    <w:rsid w:val="00346374"/>
    <w:rsid w:val="003471BC"/>
    <w:rsid w:val="0035033A"/>
    <w:rsid w:val="00351E64"/>
    <w:rsid w:val="0036487D"/>
    <w:rsid w:val="00370555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C67BE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34DF"/>
    <w:rsid w:val="00417DA4"/>
    <w:rsid w:val="00434A5F"/>
    <w:rsid w:val="004626AB"/>
    <w:rsid w:val="0046380F"/>
    <w:rsid w:val="00466C0E"/>
    <w:rsid w:val="00471978"/>
    <w:rsid w:val="004736D2"/>
    <w:rsid w:val="00475168"/>
    <w:rsid w:val="00475F55"/>
    <w:rsid w:val="00476C29"/>
    <w:rsid w:val="0048072C"/>
    <w:rsid w:val="00495312"/>
    <w:rsid w:val="0049744A"/>
    <w:rsid w:val="004A4B7E"/>
    <w:rsid w:val="004A7589"/>
    <w:rsid w:val="004C15F2"/>
    <w:rsid w:val="004C40BA"/>
    <w:rsid w:val="004C6C7F"/>
    <w:rsid w:val="004D65D9"/>
    <w:rsid w:val="004E04AE"/>
    <w:rsid w:val="004E2AB1"/>
    <w:rsid w:val="004E5D5D"/>
    <w:rsid w:val="004F09D5"/>
    <w:rsid w:val="0050514D"/>
    <w:rsid w:val="005056A5"/>
    <w:rsid w:val="00510CA9"/>
    <w:rsid w:val="00514D7E"/>
    <w:rsid w:val="005206E2"/>
    <w:rsid w:val="00520E1E"/>
    <w:rsid w:val="0052596A"/>
    <w:rsid w:val="00532D21"/>
    <w:rsid w:val="005367FB"/>
    <w:rsid w:val="005451A2"/>
    <w:rsid w:val="00547F17"/>
    <w:rsid w:val="00551759"/>
    <w:rsid w:val="00552380"/>
    <w:rsid w:val="00553D13"/>
    <w:rsid w:val="0056007B"/>
    <w:rsid w:val="00570687"/>
    <w:rsid w:val="00570818"/>
    <w:rsid w:val="005731DC"/>
    <w:rsid w:val="00573D18"/>
    <w:rsid w:val="00580B20"/>
    <w:rsid w:val="005955A3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33507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266F"/>
    <w:rsid w:val="006A7175"/>
    <w:rsid w:val="006B265F"/>
    <w:rsid w:val="006B4091"/>
    <w:rsid w:val="006C4D69"/>
    <w:rsid w:val="006C7FE2"/>
    <w:rsid w:val="006D09A4"/>
    <w:rsid w:val="006D3FDE"/>
    <w:rsid w:val="006D6E13"/>
    <w:rsid w:val="006F00AB"/>
    <w:rsid w:val="006F675A"/>
    <w:rsid w:val="00702463"/>
    <w:rsid w:val="0070583D"/>
    <w:rsid w:val="00716EAB"/>
    <w:rsid w:val="00721F85"/>
    <w:rsid w:val="007260F7"/>
    <w:rsid w:val="0072632F"/>
    <w:rsid w:val="00733A0D"/>
    <w:rsid w:val="00734640"/>
    <w:rsid w:val="00734777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96960"/>
    <w:rsid w:val="007A13B2"/>
    <w:rsid w:val="007A1D95"/>
    <w:rsid w:val="007A73D1"/>
    <w:rsid w:val="007B18A6"/>
    <w:rsid w:val="007B7AA9"/>
    <w:rsid w:val="007C11C1"/>
    <w:rsid w:val="007C3056"/>
    <w:rsid w:val="007C4088"/>
    <w:rsid w:val="00803632"/>
    <w:rsid w:val="00812991"/>
    <w:rsid w:val="00814F09"/>
    <w:rsid w:val="00820D75"/>
    <w:rsid w:val="008304B0"/>
    <w:rsid w:val="00831359"/>
    <w:rsid w:val="008453ED"/>
    <w:rsid w:val="0086101C"/>
    <w:rsid w:val="00863F07"/>
    <w:rsid w:val="00871617"/>
    <w:rsid w:val="00877C74"/>
    <w:rsid w:val="00881FCB"/>
    <w:rsid w:val="00887D38"/>
    <w:rsid w:val="008972EA"/>
    <w:rsid w:val="008B0520"/>
    <w:rsid w:val="008B0763"/>
    <w:rsid w:val="008B2BA1"/>
    <w:rsid w:val="008B412C"/>
    <w:rsid w:val="008B4F59"/>
    <w:rsid w:val="008C58F5"/>
    <w:rsid w:val="008C5B54"/>
    <w:rsid w:val="008C68F3"/>
    <w:rsid w:val="008D6FE7"/>
    <w:rsid w:val="008D7635"/>
    <w:rsid w:val="008F2291"/>
    <w:rsid w:val="008F2DC7"/>
    <w:rsid w:val="008F7DC1"/>
    <w:rsid w:val="00901583"/>
    <w:rsid w:val="00910A0D"/>
    <w:rsid w:val="00916257"/>
    <w:rsid w:val="00917447"/>
    <w:rsid w:val="009240D2"/>
    <w:rsid w:val="009336EA"/>
    <w:rsid w:val="00934174"/>
    <w:rsid w:val="009345E1"/>
    <w:rsid w:val="009404EF"/>
    <w:rsid w:val="0095780D"/>
    <w:rsid w:val="00960FC7"/>
    <w:rsid w:val="00970622"/>
    <w:rsid w:val="00971A3D"/>
    <w:rsid w:val="0097360B"/>
    <w:rsid w:val="0097384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92F"/>
    <w:rsid w:val="00A00B85"/>
    <w:rsid w:val="00A03C2F"/>
    <w:rsid w:val="00A145CF"/>
    <w:rsid w:val="00A16C4A"/>
    <w:rsid w:val="00A2111B"/>
    <w:rsid w:val="00A21296"/>
    <w:rsid w:val="00A33C26"/>
    <w:rsid w:val="00A42146"/>
    <w:rsid w:val="00A42F2D"/>
    <w:rsid w:val="00A4648C"/>
    <w:rsid w:val="00A47358"/>
    <w:rsid w:val="00A55BF6"/>
    <w:rsid w:val="00A6241B"/>
    <w:rsid w:val="00A636FE"/>
    <w:rsid w:val="00A71CD9"/>
    <w:rsid w:val="00A814CD"/>
    <w:rsid w:val="00A90E6A"/>
    <w:rsid w:val="00A94AA1"/>
    <w:rsid w:val="00A94D3C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3B56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6B89"/>
    <w:rsid w:val="00B9780D"/>
    <w:rsid w:val="00BC0757"/>
    <w:rsid w:val="00BC23B0"/>
    <w:rsid w:val="00BC5A67"/>
    <w:rsid w:val="00BC5E4F"/>
    <w:rsid w:val="00BD2B4C"/>
    <w:rsid w:val="00BD5E68"/>
    <w:rsid w:val="00BD758F"/>
    <w:rsid w:val="00BD78A8"/>
    <w:rsid w:val="00BE138B"/>
    <w:rsid w:val="00BF01C4"/>
    <w:rsid w:val="00BF6EA3"/>
    <w:rsid w:val="00C01002"/>
    <w:rsid w:val="00C15D77"/>
    <w:rsid w:val="00C20BA5"/>
    <w:rsid w:val="00C21B69"/>
    <w:rsid w:val="00C30C5D"/>
    <w:rsid w:val="00C32EF8"/>
    <w:rsid w:val="00C45701"/>
    <w:rsid w:val="00C51C38"/>
    <w:rsid w:val="00C53D63"/>
    <w:rsid w:val="00C543F6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35A1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1021"/>
    <w:rsid w:val="00D22F6C"/>
    <w:rsid w:val="00D230D1"/>
    <w:rsid w:val="00D24A93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B4177"/>
    <w:rsid w:val="00DD0605"/>
    <w:rsid w:val="00DD210D"/>
    <w:rsid w:val="00DD4BED"/>
    <w:rsid w:val="00DD7178"/>
    <w:rsid w:val="00DE1D5A"/>
    <w:rsid w:val="00DF0650"/>
    <w:rsid w:val="00DF380F"/>
    <w:rsid w:val="00DF5FDC"/>
    <w:rsid w:val="00DF65FF"/>
    <w:rsid w:val="00E00DF0"/>
    <w:rsid w:val="00E06464"/>
    <w:rsid w:val="00E10027"/>
    <w:rsid w:val="00E15E2F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71E3A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063"/>
    <w:rsid w:val="00EF512C"/>
    <w:rsid w:val="00F02701"/>
    <w:rsid w:val="00F07CE6"/>
    <w:rsid w:val="00F1032B"/>
    <w:rsid w:val="00F10B6E"/>
    <w:rsid w:val="00F13346"/>
    <w:rsid w:val="00F16D38"/>
    <w:rsid w:val="00F27CD9"/>
    <w:rsid w:val="00F34ADF"/>
    <w:rsid w:val="00F36885"/>
    <w:rsid w:val="00F4338F"/>
    <w:rsid w:val="00F4549A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0DAA"/>
    <w:rsid w:val="00FD3D1C"/>
    <w:rsid w:val="00FE6C5B"/>
    <w:rsid w:val="00FE72B3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uiPriority w:val="99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4D65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1&amp;base=STR&amp;n=13215&amp;date=04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1&amp;base=STR&amp;n=13215&amp;date=04.08.202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BDA3-E6B4-42B8-97C5-E44891F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109</cp:revision>
  <cp:lastPrinted>2023-12-20T04:35:00Z</cp:lastPrinted>
  <dcterms:created xsi:type="dcterms:W3CDTF">2023-08-24T13:52:00Z</dcterms:created>
  <dcterms:modified xsi:type="dcterms:W3CDTF">2024-01-25T10:09:00Z</dcterms:modified>
</cp:coreProperties>
</file>