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0C3983">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4C6C54" w:rsidRDefault="004C6C54" w:rsidP="000C3983">
      <w:pPr>
        <w:keepLines/>
        <w:widowControl w:val="0"/>
        <w:jc w:val="center"/>
        <w:rPr>
          <w:b/>
        </w:rPr>
      </w:pPr>
    </w:p>
    <w:p w:rsidR="000C3983" w:rsidRDefault="000C3983" w:rsidP="000C3983">
      <w:pPr>
        <w:keepLines/>
        <w:widowControl w:val="0"/>
        <w:jc w:val="center"/>
        <w:rPr>
          <w:b/>
        </w:rPr>
      </w:pPr>
      <w:r>
        <w:rPr>
          <w:b/>
        </w:rPr>
        <w:t>Выполнение работ по обеспечению инвалидов Краснодарского края бандажами в 2023 году</w:t>
      </w:r>
      <w:bookmarkStart w:id="0" w:name="_GoBack"/>
      <w:bookmarkEnd w:id="0"/>
    </w:p>
    <w:tbl>
      <w:tblPr>
        <w:tblStyle w:val="a3"/>
        <w:tblW w:w="5000" w:type="pct"/>
        <w:tblLayout w:type="fixed"/>
        <w:tblLook w:val="04A0" w:firstRow="1" w:lastRow="0" w:firstColumn="1" w:lastColumn="0" w:noHBand="0" w:noVBand="1"/>
      </w:tblPr>
      <w:tblGrid>
        <w:gridCol w:w="539"/>
        <w:gridCol w:w="4077"/>
        <w:gridCol w:w="5160"/>
        <w:gridCol w:w="850"/>
        <w:gridCol w:w="993"/>
        <w:gridCol w:w="1133"/>
        <w:gridCol w:w="1808"/>
      </w:tblGrid>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rFonts w:eastAsiaTheme="minorHAnsi"/>
                <w:sz w:val="22"/>
                <w:szCs w:val="22"/>
                <w:lang w:eastAsia="en-US"/>
              </w:rPr>
            </w:pPr>
            <w:r>
              <w:t>№ п/п</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pPr>
            <w:r>
              <w:t>Наименование товара, работ, услуг</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Описание объекта закупки</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Ед. изм.</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Объем</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Цена за ед. изм.</w:t>
            </w:r>
            <w:r>
              <w:rPr>
                <w:vertAlign w:val="superscript"/>
              </w:rPr>
              <w:footnoteReference w:id="1"/>
            </w:r>
            <w:r>
              <w:t>, руб.</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Стоимость позиции</w:t>
            </w:r>
            <w:r>
              <w:rPr>
                <w:vertAlign w:val="superscript"/>
              </w:rPr>
              <w:footnoteReference w:id="2"/>
            </w:r>
            <w:r>
              <w:t>, руб.</w:t>
            </w:r>
          </w:p>
        </w:tc>
      </w:tr>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t>1.</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pPr>
            <w:r>
              <w:rPr>
                <w:rFonts w:eastAsia="Calibri"/>
              </w:rPr>
              <w:t>Бандаж ортопедический поддерживающий или фиксирующий из хлопчатобумажных или эластичных тканей, в том числе бандаж-грация- трусы, бандаж-трусы, бандаж- панталоны на область живота при ослаблении мышц брюшной стенки, опущении органов, после операций на органах брюшной полости</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pPr>
            <w:r>
              <w:t>Бандаж ортопедический поддерживающий, должен быть фиксирующий из хлопчатобумажных, эластичных тканей для удержания передней брюшной стенки при опущении внутренних органов, вентральной грыже, диастазе прямых мышц живота, угрозе послеоперационных грыж передней брюшной стенки. Изготовление должно быть по обмерам. Назначение: должно быть лечебно-профилактическое.</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135</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highlight w:val="yellow"/>
              </w:rPr>
            </w:pPr>
            <w:r>
              <w:t>2 119,26</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highlight w:val="yellow"/>
              </w:rPr>
            </w:pPr>
            <w:r>
              <w:t>286 100,10</w:t>
            </w:r>
          </w:p>
        </w:tc>
      </w:tr>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t>2.</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rFonts w:eastAsia="Calibri"/>
              </w:rPr>
            </w:pPr>
            <w:r>
              <w:rPr>
                <w:rFonts w:eastAsia="Calibri"/>
              </w:rPr>
              <w:t>Бандаж компрессионный на нижнюю конечность</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rPr>
                <w:rFonts w:eastAsiaTheme="minorHAnsi"/>
              </w:rPr>
            </w:pPr>
            <w:r>
              <w:t>Бандаж компрессионный на нижнюю конечность. Изготовление должно быть по обмерам. Назначение: должно быть лечебно-профилактическое.</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146</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1 546,70</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225 818,20</w:t>
            </w:r>
          </w:p>
        </w:tc>
      </w:tr>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t>3.</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rFonts w:eastAsia="Calibri"/>
              </w:rPr>
            </w:pPr>
            <w:r>
              <w:rPr>
                <w:rFonts w:eastAsia="Calibri"/>
              </w:rPr>
              <w:t>Бандаж на шейный отдел позвоночника</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rPr>
                <w:rFonts w:eastAsiaTheme="minorHAnsi"/>
              </w:rPr>
            </w:pPr>
            <w:r>
              <w:t>Бандаж на шейный отдел позвоночника должен быть фиксирующий, из эластичных материалов. Изготовление должно быть по обмерам. Назначение: должно быть лечебно-профилактическое.</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4</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1 155,00</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4 620,00</w:t>
            </w:r>
          </w:p>
        </w:tc>
      </w:tr>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t>4.</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rFonts w:eastAsia="Calibri"/>
              </w:rPr>
            </w:pPr>
            <w:r>
              <w:rPr>
                <w:rFonts w:eastAsia="Calibri"/>
              </w:rPr>
              <w:t>Бандаж на голеностопный сустав</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rPr>
                <w:rFonts w:eastAsiaTheme="minorHAnsi"/>
              </w:rPr>
            </w:pPr>
            <w:r>
              <w:t>Бандаж на голеностопный сустав должен быть фиксирующий, из эластичных материалов. Изготовление должно быть по обмерам. Назначение: должно быть лечебно-профилактическое.</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41</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348,85</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14 302,85</w:t>
            </w:r>
          </w:p>
        </w:tc>
      </w:tr>
      <w:tr w:rsidR="000C3983" w:rsidTr="000C3983">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lastRenderedPageBreak/>
              <w:t>5.</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rFonts w:eastAsia="Calibri"/>
              </w:rPr>
            </w:pPr>
            <w:r>
              <w:rPr>
                <w:rFonts w:eastAsia="Calibri"/>
              </w:rPr>
              <w:t>Бандаж на коленный сустав (наколенник)</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rPr>
                <w:rFonts w:eastAsiaTheme="minorHAnsi"/>
              </w:rPr>
            </w:pPr>
            <w:r>
              <w:t xml:space="preserve">Бандаж на коленный сустав, (наколенник), разгружающий, должен быть из эластичных материалов, должен иметь ребра жесткости, должен быть изготовлен по обмерам, назначение </w:t>
            </w:r>
            <w:proofErr w:type="spellStart"/>
            <w:r>
              <w:t>лечебно</w:t>
            </w:r>
            <w:proofErr w:type="spellEnd"/>
            <w:r>
              <w:t xml:space="preserve"> – профилактическое.</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500</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1 072,12</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536 060,00</w:t>
            </w:r>
          </w:p>
        </w:tc>
      </w:tr>
      <w:tr w:rsidR="000C3983" w:rsidTr="000C3983">
        <w:trPr>
          <w:trHeight w:val="1826"/>
        </w:trPr>
        <w:tc>
          <w:tcPr>
            <w:tcW w:w="185"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pPr>
            <w:r>
              <w:t>6.</w:t>
            </w:r>
          </w:p>
        </w:tc>
        <w:tc>
          <w:tcPr>
            <w:tcW w:w="1400"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rFonts w:eastAsia="Calibri"/>
              </w:rPr>
            </w:pPr>
            <w:r>
              <w:rPr>
                <w:rFonts w:eastAsia="Calibri"/>
              </w:rPr>
              <w:t>Бандаж ортопедический на верхнюю конечность для улучшения лимфовенозного оттока, в том числе после ампутации молочной железы</w:t>
            </w:r>
          </w:p>
        </w:tc>
        <w:tc>
          <w:tcPr>
            <w:tcW w:w="177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tabs>
                <w:tab w:val="left" w:pos="3828"/>
                <w:tab w:val="center" w:pos="5244"/>
              </w:tabs>
              <w:ind w:firstLine="91"/>
              <w:jc w:val="both"/>
              <w:rPr>
                <w:rFonts w:eastAsiaTheme="minorHAnsi"/>
              </w:rPr>
            </w:pPr>
            <w:r>
              <w:t xml:space="preserve">Перчатка компрессионная при лечении осложнений </w:t>
            </w:r>
            <w:proofErr w:type="spellStart"/>
            <w:r>
              <w:t>мастоэктомии</w:t>
            </w:r>
            <w:proofErr w:type="spellEnd"/>
            <w:r>
              <w:t>, должна быть изготовлена из эластичного материала нескольких типоразмеров, на всю длину руки, должна фиксироваться на плече при помощи эластичной ленты или застежки типа «</w:t>
            </w:r>
            <w:proofErr w:type="spellStart"/>
            <w:r>
              <w:t>валькро</w:t>
            </w:r>
            <w:proofErr w:type="spellEnd"/>
            <w:r>
              <w:t>»</w:t>
            </w:r>
          </w:p>
        </w:tc>
        <w:tc>
          <w:tcPr>
            <w:tcW w:w="292"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штука</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620</w:t>
            </w:r>
          </w:p>
        </w:tc>
        <w:tc>
          <w:tcPr>
            <w:tcW w:w="389"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651,74</w:t>
            </w: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pPr>
            <w:r>
              <w:t>404 078,80</w:t>
            </w:r>
          </w:p>
        </w:tc>
      </w:tr>
      <w:tr w:rsidR="000C3983" w:rsidTr="000C3983">
        <w:tc>
          <w:tcPr>
            <w:tcW w:w="3649" w:type="pct"/>
            <w:gridSpan w:val="4"/>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sz w:val="22"/>
                <w:szCs w:val="22"/>
              </w:rPr>
            </w:pPr>
            <w:r>
              <w:rPr>
                <w:b/>
              </w:rPr>
              <w:t>ИТОГО:</w:t>
            </w:r>
          </w:p>
        </w:tc>
        <w:tc>
          <w:tcPr>
            <w:tcW w:w="34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b/>
              </w:rPr>
            </w:pPr>
            <w:r>
              <w:rPr>
                <w:b/>
              </w:rPr>
              <w:t>1446</w:t>
            </w:r>
          </w:p>
        </w:tc>
        <w:tc>
          <w:tcPr>
            <w:tcW w:w="389" w:type="pct"/>
            <w:tcBorders>
              <w:top w:val="single" w:sz="4" w:space="0" w:color="auto"/>
              <w:left w:val="single" w:sz="4" w:space="0" w:color="auto"/>
              <w:bottom w:val="single" w:sz="4" w:space="0" w:color="auto"/>
              <w:right w:val="single" w:sz="4" w:space="0" w:color="auto"/>
            </w:tcBorders>
          </w:tcPr>
          <w:p w:rsidR="000C3983" w:rsidRDefault="000C3983" w:rsidP="000C3983">
            <w:pPr>
              <w:keepLines/>
              <w:widowControl w:val="0"/>
              <w:jc w:val="both"/>
              <w:rPr>
                <w:b/>
                <w:bCs/>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0C3983" w:rsidRDefault="000C3983" w:rsidP="000C3983">
            <w:pPr>
              <w:keepLines/>
              <w:widowControl w:val="0"/>
              <w:jc w:val="both"/>
              <w:rPr>
                <w:b/>
                <w:lang w:eastAsia="en-US"/>
              </w:rPr>
            </w:pPr>
            <w:r>
              <w:rPr>
                <w:b/>
              </w:rPr>
              <w:t>1 470 979,95</w:t>
            </w:r>
          </w:p>
        </w:tc>
      </w:tr>
    </w:tbl>
    <w:p w:rsidR="000C3983" w:rsidRDefault="000C3983" w:rsidP="000C3983">
      <w:pPr>
        <w:keepLines/>
        <w:widowControl w:val="0"/>
        <w:rPr>
          <w:b/>
          <w:bCs/>
        </w:rPr>
      </w:pPr>
    </w:p>
    <w:p w:rsidR="000C3983" w:rsidRDefault="000C3983" w:rsidP="000C3983">
      <w:pPr>
        <w:keepLines/>
        <w:widowControl w:val="0"/>
        <w:tabs>
          <w:tab w:val="left" w:pos="3828"/>
          <w:tab w:val="center" w:pos="5244"/>
        </w:tabs>
        <w:ind w:firstLine="567"/>
        <w:jc w:val="both"/>
      </w:pPr>
      <w:r>
        <w:rPr>
          <w:b/>
        </w:rPr>
        <w:t>Место поставки товара, выполнения работы или оказания услуг:</w:t>
      </w:r>
      <w:r>
        <w:t xml:space="preserve"> Краснодарский край, работы должны выполняться по месту </w:t>
      </w:r>
      <w:proofErr w:type="spellStart"/>
      <w:r>
        <w:t>ортезирования</w:t>
      </w:r>
      <w:proofErr w:type="spellEnd"/>
      <w:r>
        <w:t xml:space="preserve">, </w:t>
      </w:r>
      <w:proofErr w:type="spellStart"/>
      <w:r>
        <w:t>ортезы</w:t>
      </w:r>
      <w:proofErr w:type="spellEnd"/>
      <w:r>
        <w:t xml:space="preserve"> должны выдаваться непосредственно Получателям. </w:t>
      </w:r>
    </w:p>
    <w:p w:rsidR="000C3983" w:rsidRDefault="000C3983" w:rsidP="000C3983">
      <w:pPr>
        <w:keepLines/>
        <w:widowControl w:val="0"/>
        <w:tabs>
          <w:tab w:val="left" w:pos="3828"/>
          <w:tab w:val="center" w:pos="5244"/>
        </w:tabs>
        <w:ind w:firstLine="567"/>
        <w:jc w:val="both"/>
      </w:pPr>
      <w:r>
        <w:rPr>
          <w:b/>
        </w:rPr>
        <w:t>Сроки поставки товара или завершения работ, либо график оказания услуг</w:t>
      </w:r>
      <w:r>
        <w:t xml:space="preserve"> Срок изготовления протезно-ортопедического изделия не должен превышать 60 (Шестьдесят) дней со дня обращения инвалида с направлением Заказчика. Срок завершения работ должен быть не позднее 31.08.2023.</w:t>
      </w:r>
    </w:p>
    <w:p w:rsidR="000C3983" w:rsidRDefault="000C3983" w:rsidP="000C3983">
      <w:pPr>
        <w:keepLines/>
        <w:widowControl w:val="0"/>
        <w:ind w:firstLine="567"/>
        <w:jc w:val="both"/>
        <w:rPr>
          <w:rFonts w:eastAsiaTheme="minorEastAsia"/>
          <w:szCs w:val="28"/>
          <w:lang w:eastAsia="en-US"/>
        </w:rPr>
      </w:pPr>
      <w:r>
        <w:rPr>
          <w:rFonts w:eastAsiaTheme="minorEastAsia"/>
          <w:b/>
          <w:szCs w:val="28"/>
        </w:rPr>
        <w:t>Требования к качеству работ:</w:t>
      </w:r>
      <w:r>
        <w:rPr>
          <w:rFonts w:eastAsiaTheme="minorEastAsia"/>
          <w:szCs w:val="28"/>
        </w:rPr>
        <w:t xml:space="preserve"> выполняемые работы должны включать комплекс медицинских, технических и социальных мероприятий, проводимых с инвалидами, имеющими нарушения </w:t>
      </w:r>
      <w:proofErr w:type="spellStart"/>
      <w:r>
        <w:rPr>
          <w:rFonts w:eastAsiaTheme="minorEastAsia"/>
          <w:szCs w:val="28"/>
        </w:rPr>
        <w:t>опорно</w:t>
      </w:r>
      <w:proofErr w:type="spellEnd"/>
      <w:r>
        <w:rPr>
          <w:rFonts w:eastAsiaTheme="minorEastAsia"/>
          <w:szCs w:val="28"/>
        </w:rPr>
        <w:t>–двигательного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обеспечивают лечение, восстановление и компенсацию утраченных функций организма и неустранимых анатомических дефектов и деформаций. Инвалиды не должны испытывать болей, избыточного давления, приводящих к нарушению кровообращения.</w:t>
      </w:r>
    </w:p>
    <w:p w:rsidR="000C3983" w:rsidRDefault="000C3983" w:rsidP="000C3983">
      <w:pPr>
        <w:keepLines/>
        <w:widowControl w:val="0"/>
        <w:ind w:firstLine="567"/>
        <w:jc w:val="both"/>
        <w:rPr>
          <w:rFonts w:eastAsiaTheme="minorEastAsia"/>
          <w:szCs w:val="28"/>
        </w:rPr>
      </w:pPr>
      <w:r>
        <w:rPr>
          <w:rFonts w:eastAsiaTheme="minorEastAsia"/>
          <w:b/>
          <w:szCs w:val="28"/>
        </w:rPr>
        <w:t>Требования к упаковке:</w:t>
      </w:r>
      <w:r>
        <w:rPr>
          <w:rFonts w:eastAsiaTheme="minorEastAsia"/>
          <w:szCs w:val="28"/>
        </w:rPr>
        <w:t xml:space="preserve"> упаковка ПОИ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C3983" w:rsidRDefault="000C3983" w:rsidP="000C3983">
      <w:pPr>
        <w:keepLines/>
        <w:widowControl w:val="0"/>
        <w:ind w:firstLine="567"/>
        <w:jc w:val="both"/>
        <w:rPr>
          <w:rFonts w:eastAsiaTheme="minorEastAsia"/>
          <w:szCs w:val="28"/>
        </w:rPr>
      </w:pPr>
      <w:r>
        <w:rPr>
          <w:rFonts w:eastAsiaTheme="minorEastAsia"/>
          <w:b/>
          <w:szCs w:val="28"/>
        </w:rPr>
        <w:t>Требования к техническим характеристикам.</w:t>
      </w:r>
      <w:r>
        <w:rPr>
          <w:rFonts w:eastAsiaTheme="minorEastAsia"/>
          <w:szCs w:val="28"/>
        </w:rPr>
        <w:t xml:space="preserve"> П</w:t>
      </w:r>
      <w:r w:rsidR="00FC2FCD">
        <w:rPr>
          <w:rFonts w:eastAsiaTheme="minorEastAsia"/>
          <w:szCs w:val="28"/>
        </w:rPr>
        <w:t xml:space="preserve">ОИ должны отвечать требованиям </w:t>
      </w:r>
      <w:r>
        <w:rPr>
          <w:rFonts w:eastAsiaTheme="minorEastAsia"/>
          <w:bCs/>
        </w:rPr>
        <w:t>ГОСТ Р 51632-2021</w:t>
      </w:r>
      <w:r>
        <w:rPr>
          <w:rFonts w:eastAsiaTheme="minorEastAsia"/>
          <w:szCs w:val="28"/>
        </w:rPr>
        <w:t xml:space="preserve"> </w:t>
      </w:r>
      <w:r w:rsidR="00FC2FCD">
        <w:rPr>
          <w:rFonts w:eastAsiaTheme="minorEastAsia"/>
          <w:szCs w:val="28"/>
        </w:rPr>
        <w:t>«</w:t>
      </w:r>
      <w:r>
        <w:rPr>
          <w:rFonts w:eastAsiaTheme="minorEastAsia"/>
          <w:szCs w:val="28"/>
        </w:rPr>
        <w:t>Национального стандарта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00FC2FCD">
        <w:rPr>
          <w:rFonts w:eastAsiaTheme="minorEastAsia"/>
          <w:szCs w:val="28"/>
        </w:rPr>
        <w:t>»</w:t>
      </w:r>
      <w:r>
        <w:rPr>
          <w:rFonts w:eastAsiaTheme="minorEastAsia"/>
          <w:szCs w:val="28"/>
        </w:rPr>
        <w:t>, а так</w:t>
      </w:r>
      <w:r w:rsidR="00FC2FCD">
        <w:rPr>
          <w:rFonts w:eastAsiaTheme="minorEastAsia"/>
          <w:szCs w:val="28"/>
        </w:rPr>
        <w:t xml:space="preserve">же соответствовать требованиям </w:t>
      </w:r>
      <w:r>
        <w:rPr>
          <w:rFonts w:eastAsiaTheme="minorEastAsia"/>
          <w:color w:val="000000" w:themeColor="text1"/>
          <w:szCs w:val="28"/>
        </w:rPr>
        <w:t>ГОСТ Р 52770-2016</w:t>
      </w:r>
      <w:r>
        <w:rPr>
          <w:rFonts w:eastAsiaTheme="minorEastAsia"/>
          <w:szCs w:val="28"/>
        </w:rPr>
        <w:t xml:space="preserve"> </w:t>
      </w:r>
      <w:r w:rsidR="00FC2FCD">
        <w:rPr>
          <w:rFonts w:eastAsiaTheme="minorEastAsia"/>
          <w:szCs w:val="28"/>
        </w:rPr>
        <w:t>«</w:t>
      </w:r>
      <w:r>
        <w:rPr>
          <w:rFonts w:eastAsiaTheme="minorEastAsia"/>
          <w:szCs w:val="28"/>
        </w:rPr>
        <w:t>Национального стандарта Российской Федерации. Изделия медицинские. Требования безопасности. Методы санитарно-химических и токсикологических испытаний</w:t>
      </w:r>
      <w:r w:rsidR="00FC2FCD">
        <w:rPr>
          <w:rFonts w:eastAsiaTheme="minorEastAsia"/>
          <w:szCs w:val="28"/>
        </w:rPr>
        <w:t xml:space="preserve">», </w:t>
      </w:r>
      <w:r>
        <w:rPr>
          <w:rFonts w:eastAsiaTheme="minorEastAsia"/>
          <w:szCs w:val="28"/>
        </w:rPr>
        <w:t xml:space="preserve">ГОСТ ISO 10993-1-2021 Межгосударственного стандарта </w:t>
      </w:r>
      <w:r w:rsidR="00FC2FCD">
        <w:rPr>
          <w:rFonts w:eastAsiaTheme="minorEastAsia"/>
          <w:szCs w:val="28"/>
        </w:rPr>
        <w:t>«</w:t>
      </w:r>
      <w:r>
        <w:rPr>
          <w:rFonts w:eastAsiaTheme="minorEastAsia"/>
          <w:szCs w:val="28"/>
        </w:rPr>
        <w:t>Изделия медицинские. Оценка биологического действия медицинских изделий.</w:t>
      </w:r>
      <w:r w:rsidR="00FC2FCD">
        <w:rPr>
          <w:rFonts w:eastAsiaTheme="minorEastAsia"/>
          <w:szCs w:val="28"/>
        </w:rPr>
        <w:t xml:space="preserve"> Часть 1. Оценка и исследования» (Часть 1), </w:t>
      </w:r>
      <w:r>
        <w:rPr>
          <w:rFonts w:eastAsiaTheme="minorEastAsia"/>
          <w:szCs w:val="28"/>
        </w:rPr>
        <w:t>ГОСТ ISO 10993-5-2011</w:t>
      </w:r>
      <w:r w:rsidR="00FC2FCD">
        <w:rPr>
          <w:rFonts w:eastAsiaTheme="minorEastAsia"/>
          <w:szCs w:val="28"/>
        </w:rPr>
        <w:t xml:space="preserve"> Межгосударственного стандарта</w:t>
      </w:r>
      <w:r>
        <w:rPr>
          <w:rFonts w:eastAsiaTheme="minorEastAsia"/>
          <w:szCs w:val="28"/>
        </w:rPr>
        <w:t xml:space="preserve"> </w:t>
      </w:r>
      <w:r w:rsidR="00FC2FCD">
        <w:rPr>
          <w:rFonts w:eastAsiaTheme="minorEastAsia"/>
          <w:szCs w:val="28"/>
        </w:rPr>
        <w:t>«</w:t>
      </w:r>
      <w:r>
        <w:rPr>
          <w:rFonts w:eastAsiaTheme="minorEastAsia"/>
          <w:szCs w:val="28"/>
        </w:rPr>
        <w:t xml:space="preserve">Изделия медицинские. Оценка биологического действия медицинских изделий. Часть 5. Исследования на </w:t>
      </w:r>
      <w:proofErr w:type="spellStart"/>
      <w:r>
        <w:rPr>
          <w:rFonts w:eastAsiaTheme="minorEastAsia"/>
          <w:szCs w:val="28"/>
        </w:rPr>
        <w:t>цитотоксичность</w:t>
      </w:r>
      <w:proofErr w:type="spellEnd"/>
      <w:r>
        <w:rPr>
          <w:rFonts w:eastAsiaTheme="minorEastAsia"/>
          <w:szCs w:val="28"/>
        </w:rPr>
        <w:t xml:space="preserve">: методы </w:t>
      </w:r>
      <w:proofErr w:type="spellStart"/>
      <w:r>
        <w:rPr>
          <w:rFonts w:eastAsiaTheme="minorEastAsia"/>
          <w:szCs w:val="28"/>
        </w:rPr>
        <w:t>in</w:t>
      </w:r>
      <w:proofErr w:type="spellEnd"/>
      <w:r>
        <w:rPr>
          <w:rFonts w:eastAsiaTheme="minorEastAsia"/>
          <w:szCs w:val="28"/>
        </w:rPr>
        <w:t xml:space="preserve"> </w:t>
      </w:r>
      <w:proofErr w:type="spellStart"/>
      <w:r>
        <w:rPr>
          <w:rFonts w:eastAsiaTheme="minorEastAsia"/>
          <w:szCs w:val="28"/>
        </w:rPr>
        <w:t>vitro</w:t>
      </w:r>
      <w:proofErr w:type="spellEnd"/>
      <w:r w:rsidR="00FC2FCD">
        <w:rPr>
          <w:rFonts w:eastAsiaTheme="minorEastAsia"/>
          <w:szCs w:val="28"/>
        </w:rPr>
        <w:t xml:space="preserve">», </w:t>
      </w:r>
      <w:r>
        <w:rPr>
          <w:rFonts w:eastAsiaTheme="minorEastAsia"/>
          <w:szCs w:val="28"/>
        </w:rPr>
        <w:t xml:space="preserve">ГОСТ ISO 10993-10-2011 Межгосударственного стандарта </w:t>
      </w:r>
      <w:r w:rsidR="00FC2FCD">
        <w:rPr>
          <w:rFonts w:eastAsiaTheme="minorEastAsia"/>
          <w:szCs w:val="28"/>
        </w:rPr>
        <w:t>«</w:t>
      </w:r>
      <w:r>
        <w:rPr>
          <w:rFonts w:eastAsiaTheme="minorEastAsia"/>
          <w:szCs w:val="28"/>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FC2FCD">
        <w:rPr>
          <w:rFonts w:eastAsiaTheme="minorEastAsia"/>
          <w:szCs w:val="28"/>
        </w:rPr>
        <w:t>»</w:t>
      </w:r>
      <w:r>
        <w:rPr>
          <w:rFonts w:eastAsiaTheme="minorEastAsia"/>
          <w:szCs w:val="28"/>
        </w:rPr>
        <w:t xml:space="preserve"> (Часть 10).</w:t>
      </w:r>
    </w:p>
    <w:p w:rsidR="000C3983" w:rsidRDefault="000C3983" w:rsidP="000C3983">
      <w:pPr>
        <w:keepLines/>
        <w:widowControl w:val="0"/>
        <w:ind w:firstLine="567"/>
        <w:jc w:val="both"/>
        <w:rPr>
          <w:rFonts w:eastAsiaTheme="minorEastAsia"/>
          <w:szCs w:val="28"/>
        </w:rPr>
      </w:pPr>
      <w:r>
        <w:rPr>
          <w:rFonts w:eastAsiaTheme="minorEastAsia"/>
          <w:b/>
          <w:szCs w:val="28"/>
        </w:rPr>
        <w:lastRenderedPageBreak/>
        <w:t>Требования к выполнению работ:</w:t>
      </w:r>
      <w:r>
        <w:rPr>
          <w:rFonts w:eastAsiaTheme="minorEastAsia"/>
          <w:szCs w:val="28"/>
        </w:rPr>
        <w:t xml:space="preserve"> Работы должны выполняться с надлежащим качеством и в установленные сроки. Должно быть наличие выездной </w:t>
      </w:r>
      <w:proofErr w:type="spellStart"/>
      <w:r>
        <w:rPr>
          <w:rFonts w:eastAsiaTheme="minorEastAsia"/>
          <w:szCs w:val="28"/>
        </w:rPr>
        <w:t>протезно</w:t>
      </w:r>
      <w:proofErr w:type="spellEnd"/>
      <w:r>
        <w:rPr>
          <w:rFonts w:eastAsiaTheme="minorEastAsia"/>
          <w:szCs w:val="28"/>
        </w:rPr>
        <w:t xml:space="preserve"> – ортопедической бригады для обеспечения инвалидов в городах и районах Краснодарского края. График выездной бригады должен быть предоставлен Изготовителем не позднее 10 рабочих дней после получения списков.</w:t>
      </w:r>
    </w:p>
    <w:p w:rsidR="000C3983" w:rsidRDefault="000C3983" w:rsidP="000C3983">
      <w:pPr>
        <w:keepLines/>
        <w:widowControl w:val="0"/>
        <w:tabs>
          <w:tab w:val="left" w:pos="3828"/>
          <w:tab w:val="center" w:pos="5244"/>
        </w:tabs>
        <w:ind w:firstLine="567"/>
        <w:jc w:val="both"/>
      </w:pPr>
      <w:r>
        <w:rPr>
          <w:b/>
        </w:rPr>
        <w:t xml:space="preserve">Срок предоставления гарантии на выполненные работы </w:t>
      </w:r>
      <w:r>
        <w:t>должен составлять – не менее 7 (семи) месяцев с момента выдачи изделия получателю.</w:t>
      </w:r>
    </w:p>
    <w:p w:rsidR="000C3983" w:rsidRDefault="000C3983" w:rsidP="000C3983">
      <w:pPr>
        <w:keepLines/>
        <w:widowControl w:val="0"/>
        <w:tabs>
          <w:tab w:val="left" w:pos="3828"/>
          <w:tab w:val="center" w:pos="5244"/>
        </w:tabs>
        <w:ind w:firstLine="567"/>
        <w:jc w:val="both"/>
      </w:pPr>
      <w:r>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(двадцати) рабочих дней.</w:t>
      </w:r>
    </w:p>
    <w:p w:rsidR="000C3983" w:rsidRDefault="000C3983" w:rsidP="000C3983">
      <w:pPr>
        <w:keepLines/>
        <w:widowControl w:val="0"/>
        <w:ind w:firstLine="567"/>
        <w:jc w:val="both"/>
        <w:rPr>
          <w:color w:val="000000"/>
        </w:rPr>
      </w:pPr>
      <w:r>
        <w:rPr>
          <w:b/>
        </w:rPr>
        <w:t>Срок исполнения контракта (отдельных этапов исполнения контракта, если проектом контракта предусмотрены такие этапы):</w:t>
      </w:r>
      <w:r>
        <w:rPr>
          <w:color w:val="000000"/>
        </w:rPr>
        <w:t xml:space="preserve"> </w:t>
      </w:r>
    </w:p>
    <w:p w:rsidR="000C3983" w:rsidRDefault="000C3983" w:rsidP="000C3983">
      <w:pPr>
        <w:keepLines/>
        <w:widowControl w:val="0"/>
        <w:ind w:firstLine="567"/>
        <w:jc w:val="both"/>
        <w:rPr>
          <w:color w:val="000000"/>
        </w:rPr>
      </w:pPr>
      <w:r>
        <w:rPr>
          <w:color w:val="000000"/>
        </w:rPr>
        <w:t>1</w:t>
      </w:r>
      <w:r w:rsidR="00B64783">
        <w:rPr>
          <w:color w:val="000000"/>
        </w:rPr>
        <w:t>-й этап: с</w:t>
      </w:r>
      <w:r>
        <w:rPr>
          <w:color w:val="000000"/>
        </w:rPr>
        <w:t xml:space="preserve"> 01.01.2023 </w:t>
      </w:r>
      <w:r w:rsidR="00B64783">
        <w:rPr>
          <w:color w:val="000000"/>
        </w:rPr>
        <w:t xml:space="preserve">года </w:t>
      </w:r>
      <w:r>
        <w:rPr>
          <w:color w:val="000000"/>
        </w:rPr>
        <w:t xml:space="preserve">по 31.05.2023 </w:t>
      </w:r>
      <w:r w:rsidR="00B64783">
        <w:rPr>
          <w:color w:val="000000"/>
        </w:rPr>
        <w:t>года</w:t>
      </w:r>
      <w:r>
        <w:rPr>
          <w:color w:val="000000"/>
        </w:rPr>
        <w:t xml:space="preserve">; </w:t>
      </w:r>
    </w:p>
    <w:p w:rsidR="000C3983" w:rsidRDefault="000C3983" w:rsidP="000C3983">
      <w:pPr>
        <w:keepLines/>
        <w:widowControl w:val="0"/>
        <w:ind w:firstLine="567"/>
        <w:jc w:val="both"/>
        <w:rPr>
          <w:color w:val="000000"/>
        </w:rPr>
      </w:pPr>
      <w:r>
        <w:rPr>
          <w:color w:val="000000"/>
        </w:rPr>
        <w:t>2</w:t>
      </w:r>
      <w:r w:rsidR="00B64783">
        <w:rPr>
          <w:color w:val="000000"/>
        </w:rPr>
        <w:t>-й этап: с</w:t>
      </w:r>
      <w:r>
        <w:rPr>
          <w:color w:val="000000"/>
        </w:rPr>
        <w:t xml:space="preserve"> 01.05.2023 </w:t>
      </w:r>
      <w:r w:rsidR="00B64783">
        <w:rPr>
          <w:color w:val="000000"/>
        </w:rPr>
        <w:t xml:space="preserve">года </w:t>
      </w:r>
      <w:r>
        <w:rPr>
          <w:color w:val="000000"/>
        </w:rPr>
        <w:t xml:space="preserve">по 31.07.2023 </w:t>
      </w:r>
      <w:r w:rsidR="00B64783">
        <w:rPr>
          <w:color w:val="000000"/>
        </w:rPr>
        <w:t>года</w:t>
      </w:r>
      <w:r>
        <w:rPr>
          <w:color w:val="000000"/>
        </w:rPr>
        <w:t>;</w:t>
      </w:r>
    </w:p>
    <w:p w:rsidR="000C3983" w:rsidRPr="000C3983" w:rsidRDefault="000C3983" w:rsidP="000C3983">
      <w:pPr>
        <w:keepLines/>
        <w:widowControl w:val="0"/>
        <w:ind w:firstLine="567"/>
        <w:jc w:val="both"/>
        <w:rPr>
          <w:color w:val="000000"/>
        </w:rPr>
      </w:pPr>
      <w:r>
        <w:rPr>
          <w:color w:val="000000"/>
        </w:rPr>
        <w:t>3</w:t>
      </w:r>
      <w:r w:rsidR="00B64783">
        <w:rPr>
          <w:color w:val="000000"/>
        </w:rPr>
        <w:t>-й этап:</w:t>
      </w:r>
      <w:r>
        <w:rPr>
          <w:color w:val="000000"/>
        </w:rPr>
        <w:t xml:space="preserve"> </w:t>
      </w:r>
      <w:r w:rsidR="00B64783">
        <w:rPr>
          <w:color w:val="000000"/>
        </w:rPr>
        <w:t>с</w:t>
      </w:r>
      <w:r>
        <w:rPr>
          <w:color w:val="000000"/>
        </w:rPr>
        <w:t xml:space="preserve"> 01.07.2023 </w:t>
      </w:r>
      <w:r w:rsidR="00B64783">
        <w:rPr>
          <w:color w:val="000000"/>
        </w:rPr>
        <w:t xml:space="preserve">года </w:t>
      </w:r>
      <w:r>
        <w:rPr>
          <w:color w:val="000000"/>
        </w:rPr>
        <w:t>по 30.09.2023</w:t>
      </w:r>
      <w:r w:rsidR="00B64783">
        <w:rPr>
          <w:color w:val="000000"/>
        </w:rPr>
        <w:t xml:space="preserve"> года.</w:t>
      </w:r>
      <w:r>
        <w:rPr>
          <w:color w:val="000000"/>
        </w:rPr>
        <w:t xml:space="preserve"> </w:t>
      </w:r>
    </w:p>
    <w:sectPr w:rsidR="000C3983" w:rsidRPr="000C3983"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0C3983" w:rsidRDefault="000C3983" w:rsidP="000C3983">
      <w:pPr>
        <w:pStyle w:val="a4"/>
      </w:pPr>
      <w:r>
        <w:rPr>
          <w:rStyle w:val="a6"/>
        </w:rPr>
        <w:footnoteRef/>
      </w:r>
      <w:r>
        <w:t xml:space="preserve"> Не более</w:t>
      </w:r>
    </w:p>
  </w:footnote>
  <w:footnote w:id="2">
    <w:p w:rsidR="000C3983" w:rsidRDefault="000C3983" w:rsidP="000C3983">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C3983"/>
    <w:rsid w:val="000D16AA"/>
    <w:rsid w:val="00112FC0"/>
    <w:rsid w:val="0014189E"/>
    <w:rsid w:val="001A63F5"/>
    <w:rsid w:val="001B06E5"/>
    <w:rsid w:val="0021146D"/>
    <w:rsid w:val="00230FA8"/>
    <w:rsid w:val="002818D6"/>
    <w:rsid w:val="002C1A94"/>
    <w:rsid w:val="00305061"/>
    <w:rsid w:val="00306974"/>
    <w:rsid w:val="00310ABB"/>
    <w:rsid w:val="00320817"/>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804D10"/>
    <w:rsid w:val="00820BD5"/>
    <w:rsid w:val="00831825"/>
    <w:rsid w:val="008441C5"/>
    <w:rsid w:val="008630E0"/>
    <w:rsid w:val="00871088"/>
    <w:rsid w:val="008B45C8"/>
    <w:rsid w:val="008C43CC"/>
    <w:rsid w:val="00911D03"/>
    <w:rsid w:val="00992D95"/>
    <w:rsid w:val="009C3ADD"/>
    <w:rsid w:val="009D0232"/>
    <w:rsid w:val="00A36073"/>
    <w:rsid w:val="00A773C9"/>
    <w:rsid w:val="00AA43C3"/>
    <w:rsid w:val="00B16774"/>
    <w:rsid w:val="00B227D4"/>
    <w:rsid w:val="00B52AE5"/>
    <w:rsid w:val="00B64783"/>
    <w:rsid w:val="00B728FC"/>
    <w:rsid w:val="00B92A19"/>
    <w:rsid w:val="00B9732F"/>
    <w:rsid w:val="00C1028B"/>
    <w:rsid w:val="00C4726A"/>
    <w:rsid w:val="00C568C7"/>
    <w:rsid w:val="00D56675"/>
    <w:rsid w:val="00D72545"/>
    <w:rsid w:val="00D82BCF"/>
    <w:rsid w:val="00D93D49"/>
    <w:rsid w:val="00DC4C3C"/>
    <w:rsid w:val="00DD7A59"/>
    <w:rsid w:val="00E4226F"/>
    <w:rsid w:val="00EA1FA7"/>
    <w:rsid w:val="00EA3E1B"/>
    <w:rsid w:val="00EC7476"/>
    <w:rsid w:val="00F15A8F"/>
    <w:rsid w:val="00F9535D"/>
    <w:rsid w:val="00FC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0C398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564099787">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99</cp:revision>
  <dcterms:created xsi:type="dcterms:W3CDTF">2022-09-30T12:03:00Z</dcterms:created>
  <dcterms:modified xsi:type="dcterms:W3CDTF">2022-11-03T11:54:00Z</dcterms:modified>
</cp:coreProperties>
</file>