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44" w:rsidRDefault="00963044" w:rsidP="00963044">
      <w:pPr>
        <w:tabs>
          <w:tab w:val="left" w:pos="142"/>
        </w:tabs>
        <w:ind w:right="15"/>
        <w:jc w:val="right"/>
        <w:rPr>
          <w:color w:val="auto"/>
          <w:szCs w:val="24"/>
        </w:rPr>
      </w:pPr>
      <w:r w:rsidRPr="00CC1C93">
        <w:rPr>
          <w:color w:val="auto"/>
          <w:szCs w:val="24"/>
        </w:rPr>
        <w:t>Приложение № 1</w:t>
      </w:r>
      <w:r>
        <w:rPr>
          <w:color w:val="auto"/>
          <w:szCs w:val="24"/>
        </w:rPr>
        <w:t xml:space="preserve"> к извещению</w:t>
      </w:r>
    </w:p>
    <w:p w:rsidR="00963044" w:rsidRPr="00CC1C93" w:rsidRDefault="00963044" w:rsidP="00963044">
      <w:pPr>
        <w:tabs>
          <w:tab w:val="left" w:pos="142"/>
        </w:tabs>
        <w:ind w:right="15"/>
        <w:jc w:val="right"/>
        <w:rPr>
          <w:color w:val="auto"/>
          <w:szCs w:val="24"/>
        </w:rPr>
      </w:pPr>
      <w:r>
        <w:rPr>
          <w:color w:val="auto"/>
          <w:szCs w:val="24"/>
        </w:rPr>
        <w:t>об осуществлении закупки</w:t>
      </w:r>
    </w:p>
    <w:p w:rsidR="00963044" w:rsidRPr="00CC1C93" w:rsidRDefault="00963044" w:rsidP="00963044">
      <w:pPr>
        <w:tabs>
          <w:tab w:val="left" w:pos="142"/>
        </w:tabs>
        <w:ind w:right="15"/>
        <w:jc w:val="center"/>
        <w:rPr>
          <w:b/>
          <w:color w:val="auto"/>
          <w:szCs w:val="24"/>
        </w:rPr>
      </w:pPr>
    </w:p>
    <w:p w:rsidR="00963044" w:rsidRPr="00CC1C93" w:rsidRDefault="00963044" w:rsidP="00963044">
      <w:pPr>
        <w:tabs>
          <w:tab w:val="left" w:pos="142"/>
        </w:tabs>
        <w:ind w:right="15"/>
        <w:jc w:val="center"/>
        <w:rPr>
          <w:b/>
          <w:color w:val="auto"/>
          <w:szCs w:val="24"/>
        </w:rPr>
      </w:pPr>
    </w:p>
    <w:p w:rsidR="00963044" w:rsidRPr="00963044" w:rsidRDefault="00963044" w:rsidP="00963044">
      <w:pPr>
        <w:tabs>
          <w:tab w:val="left" w:pos="142"/>
        </w:tabs>
        <w:ind w:right="15"/>
        <w:jc w:val="center"/>
        <w:rPr>
          <w:b/>
          <w:color w:val="auto"/>
          <w:szCs w:val="24"/>
        </w:rPr>
      </w:pPr>
      <w:r w:rsidRPr="00CC1C93">
        <w:rPr>
          <w:b/>
          <w:color w:val="auto"/>
          <w:szCs w:val="24"/>
        </w:rPr>
        <w:t>Техническое задание</w:t>
      </w:r>
      <w:r w:rsidRPr="00963044">
        <w:rPr>
          <w:b/>
          <w:color w:val="auto"/>
          <w:szCs w:val="24"/>
        </w:rPr>
        <w:t xml:space="preserve"> (</w:t>
      </w:r>
      <w:r>
        <w:rPr>
          <w:b/>
          <w:color w:val="auto"/>
          <w:szCs w:val="24"/>
        </w:rPr>
        <w:t>описание объекта закупки</w:t>
      </w:r>
      <w:r w:rsidRPr="00963044">
        <w:rPr>
          <w:b/>
          <w:color w:val="auto"/>
          <w:szCs w:val="24"/>
        </w:rPr>
        <w:t>)</w:t>
      </w:r>
    </w:p>
    <w:p w:rsidR="00963044" w:rsidRPr="00CC1C93" w:rsidRDefault="00963044" w:rsidP="00963044">
      <w:pPr>
        <w:ind w:right="-284"/>
        <w:jc w:val="center"/>
        <w:rPr>
          <w:color w:val="auto"/>
          <w:szCs w:val="24"/>
        </w:rPr>
      </w:pPr>
    </w:p>
    <w:p w:rsidR="00963044" w:rsidRPr="00CC1C93" w:rsidRDefault="00963044" w:rsidP="00963044">
      <w:pPr>
        <w:keepLines/>
        <w:rPr>
          <w:b/>
          <w:color w:val="auto"/>
        </w:rPr>
      </w:pPr>
      <w:r w:rsidRPr="00CC1C93">
        <w:rPr>
          <w:color w:val="auto"/>
          <w:szCs w:val="24"/>
        </w:rPr>
        <w:t xml:space="preserve">   </w:t>
      </w:r>
      <w:r w:rsidRPr="00CC1C93">
        <w:rPr>
          <w:bCs/>
          <w:color w:val="auto"/>
        </w:rPr>
        <w:t xml:space="preserve">Выполнение работ </w:t>
      </w:r>
      <w:r w:rsidRPr="00CC1C93">
        <w:rPr>
          <w:color w:val="auto"/>
        </w:rPr>
        <w:t xml:space="preserve">по изготовлению  протезно-ортопедических изделий </w:t>
      </w:r>
      <w:proofErr w:type="gramStart"/>
      <w:r w:rsidRPr="00CC1C93">
        <w:rPr>
          <w:color w:val="auto"/>
        </w:rPr>
        <w:t>-</w:t>
      </w:r>
      <w:proofErr w:type="spellStart"/>
      <w:r w:rsidRPr="00CC1C93">
        <w:rPr>
          <w:color w:val="auto"/>
        </w:rPr>
        <w:t>э</w:t>
      </w:r>
      <w:proofErr w:type="gramEnd"/>
      <w:r w:rsidRPr="00CC1C93">
        <w:rPr>
          <w:color w:val="auto"/>
        </w:rPr>
        <w:t>кзопротезы</w:t>
      </w:r>
      <w:proofErr w:type="spellEnd"/>
      <w:r w:rsidRPr="00CC1C93">
        <w:rPr>
          <w:color w:val="auto"/>
        </w:rPr>
        <w:t xml:space="preserve"> молочных (грудных) желез и бюстгальтеры (лиф крепление) и/или грация (</w:t>
      </w:r>
      <w:proofErr w:type="spellStart"/>
      <w:r w:rsidRPr="00CC1C93">
        <w:rPr>
          <w:color w:val="auto"/>
        </w:rPr>
        <w:t>полуграция</w:t>
      </w:r>
      <w:proofErr w:type="spellEnd"/>
      <w:r w:rsidRPr="00CC1C93">
        <w:rPr>
          <w:color w:val="auto"/>
        </w:rPr>
        <w:t xml:space="preserve">) для фиксации </w:t>
      </w:r>
      <w:proofErr w:type="spellStart"/>
      <w:r w:rsidRPr="00CC1C93">
        <w:rPr>
          <w:color w:val="auto"/>
        </w:rPr>
        <w:t>экзопротеза</w:t>
      </w:r>
      <w:proofErr w:type="spellEnd"/>
      <w:r w:rsidRPr="00CC1C93">
        <w:rPr>
          <w:color w:val="auto"/>
        </w:rPr>
        <w:t xml:space="preserve"> молочной железы</w:t>
      </w:r>
      <w:r w:rsidRPr="00CC1C93">
        <w:rPr>
          <w:bCs/>
          <w:color w:val="auto"/>
        </w:rPr>
        <w:t xml:space="preserve"> </w:t>
      </w:r>
      <w:r w:rsidRPr="00CC1C93">
        <w:rPr>
          <w:b/>
          <w:color w:val="auto"/>
        </w:rPr>
        <w:t>в 2024 году</w:t>
      </w:r>
    </w:p>
    <w:p w:rsidR="00963044" w:rsidRPr="00CC1C93" w:rsidRDefault="00963044" w:rsidP="00963044">
      <w:pPr>
        <w:autoSpaceDE w:val="0"/>
        <w:autoSpaceDN w:val="0"/>
        <w:adjustRightInd w:val="0"/>
        <w:ind w:right="-284"/>
        <w:jc w:val="both"/>
        <w:rPr>
          <w:color w:val="auto"/>
        </w:rPr>
      </w:pPr>
    </w:p>
    <w:p w:rsidR="00963044" w:rsidRPr="00CC1C93" w:rsidRDefault="00963044" w:rsidP="00963044">
      <w:pPr>
        <w:autoSpaceDE w:val="0"/>
        <w:autoSpaceDN w:val="0"/>
        <w:adjustRightInd w:val="0"/>
        <w:ind w:right="-284"/>
        <w:jc w:val="both"/>
        <w:rPr>
          <w:color w:val="auto"/>
        </w:rPr>
      </w:pPr>
      <w:r w:rsidRPr="00CC1C93">
        <w:rPr>
          <w:color w:val="auto"/>
        </w:rPr>
        <w:t xml:space="preserve"> Исполнитель осуществит </w:t>
      </w:r>
      <w:r w:rsidRPr="00CC1C93">
        <w:rPr>
          <w:rFonts w:eastAsia="Calibri"/>
          <w:color w:val="auto"/>
        </w:rPr>
        <w:t xml:space="preserve">выполнение работ по изготовлению </w:t>
      </w:r>
      <w:proofErr w:type="spellStart"/>
      <w:r w:rsidRPr="00CC1C93">
        <w:rPr>
          <w:color w:val="auto"/>
        </w:rPr>
        <w:t>экзопротезы</w:t>
      </w:r>
      <w:proofErr w:type="spellEnd"/>
      <w:r w:rsidRPr="00CC1C93">
        <w:rPr>
          <w:color w:val="auto"/>
        </w:rPr>
        <w:t xml:space="preserve"> молочных (грудных) желез и бюстгальтеры (лиф крепление) и/или грация (</w:t>
      </w:r>
      <w:proofErr w:type="spellStart"/>
      <w:r w:rsidRPr="00CC1C93">
        <w:rPr>
          <w:color w:val="auto"/>
        </w:rPr>
        <w:t>полуграция</w:t>
      </w:r>
      <w:proofErr w:type="spellEnd"/>
      <w:r w:rsidRPr="00CC1C93">
        <w:rPr>
          <w:color w:val="auto"/>
        </w:rPr>
        <w:t xml:space="preserve">) для фиксации </w:t>
      </w:r>
      <w:proofErr w:type="spellStart"/>
      <w:r w:rsidRPr="00CC1C93">
        <w:rPr>
          <w:color w:val="auto"/>
        </w:rPr>
        <w:t>экзопротеза</w:t>
      </w:r>
      <w:proofErr w:type="spellEnd"/>
      <w:r w:rsidRPr="00CC1C93">
        <w:rPr>
          <w:color w:val="auto"/>
        </w:rPr>
        <w:t xml:space="preserve"> молочной железы</w:t>
      </w:r>
      <w:r w:rsidRPr="00CC1C93">
        <w:rPr>
          <w:rFonts w:eastAsia="Calibri"/>
          <w:bCs/>
          <w:color w:val="auto"/>
        </w:rPr>
        <w:t xml:space="preserve"> для Получателей </w:t>
      </w:r>
      <w:r w:rsidRPr="00CC1C93">
        <w:rPr>
          <w:rFonts w:eastAsia="Calibri"/>
          <w:color w:val="auto"/>
        </w:rPr>
        <w:t xml:space="preserve">в </w:t>
      </w:r>
      <w:r w:rsidRPr="00CC1C93">
        <w:rPr>
          <w:rFonts w:eastAsia="Calibri"/>
          <w:b/>
          <w:color w:val="auto"/>
        </w:rPr>
        <w:t>2024</w:t>
      </w:r>
      <w:r w:rsidRPr="00CC1C93">
        <w:rPr>
          <w:rFonts w:eastAsia="Calibri"/>
          <w:color w:val="auto"/>
        </w:rPr>
        <w:t xml:space="preserve"> году </w:t>
      </w:r>
      <w:r w:rsidRPr="00CC1C93">
        <w:rPr>
          <w:color w:val="auto"/>
        </w:rPr>
        <w:t>в соответствии с требованиями, предъявляемыми в настоящем техническом задании, в период действия государственного контракта.</w:t>
      </w:r>
    </w:p>
    <w:p w:rsidR="00963044" w:rsidRPr="00CC1C93" w:rsidRDefault="00963044" w:rsidP="00963044">
      <w:pPr>
        <w:ind w:right="-284"/>
        <w:rPr>
          <w:color w:val="auto"/>
        </w:rPr>
      </w:pPr>
      <w:r w:rsidRPr="00CC1C93">
        <w:rPr>
          <w:color w:val="auto"/>
        </w:rPr>
        <w:t>1. Характеристики объекта закупки.</w:t>
      </w:r>
    </w:p>
    <w:p w:rsidR="00963044" w:rsidRPr="00CC1C93" w:rsidRDefault="00963044" w:rsidP="00963044">
      <w:pPr>
        <w:ind w:right="-284"/>
        <w:rPr>
          <w:bCs/>
          <w:color w:val="auto"/>
        </w:rPr>
      </w:pPr>
      <w:r w:rsidRPr="00CC1C93">
        <w:rPr>
          <w:color w:val="auto"/>
        </w:rPr>
        <w:t xml:space="preserve">1.1. </w:t>
      </w:r>
      <w:r w:rsidRPr="00CC1C93">
        <w:rPr>
          <w:bCs/>
          <w:color w:val="auto"/>
        </w:rPr>
        <w:t>Функциональные и технические характеристики объекта закупки:</w:t>
      </w:r>
    </w:p>
    <w:p w:rsidR="00963044" w:rsidRPr="00CC1C93" w:rsidRDefault="00963044" w:rsidP="00963044">
      <w:pPr>
        <w:rPr>
          <w:color w:val="auto"/>
          <w:lang w:eastAsia="ar-SA"/>
        </w:rPr>
      </w:pPr>
    </w:p>
    <w:tbl>
      <w:tblPr>
        <w:tblW w:w="10872" w:type="dxa"/>
        <w:tblInd w:w="-983" w:type="dxa"/>
        <w:tblLayout w:type="fixed"/>
        <w:tblLook w:val="04A0" w:firstRow="1" w:lastRow="0" w:firstColumn="1" w:lastColumn="0" w:noHBand="0" w:noVBand="1"/>
      </w:tblPr>
      <w:tblGrid>
        <w:gridCol w:w="807"/>
        <w:gridCol w:w="2269"/>
        <w:gridCol w:w="3969"/>
        <w:gridCol w:w="1134"/>
        <w:gridCol w:w="894"/>
        <w:gridCol w:w="1799"/>
      </w:tblGrid>
      <w:tr w:rsidR="00963044" w:rsidRPr="00CC1C93" w:rsidTr="00A47622">
        <w:trPr>
          <w:trHeight w:val="690"/>
        </w:trPr>
        <w:tc>
          <w:tcPr>
            <w:tcW w:w="807" w:type="dxa"/>
            <w:tcBorders>
              <w:top w:val="single" w:sz="4" w:space="0" w:color="000000"/>
              <w:left w:val="single" w:sz="4" w:space="0" w:color="000000"/>
              <w:bottom w:val="single" w:sz="4" w:space="0" w:color="000000"/>
              <w:right w:val="single" w:sz="4" w:space="0" w:color="000000"/>
            </w:tcBorders>
            <w:shd w:val="clear" w:color="auto" w:fill="auto"/>
            <w:hideMark/>
          </w:tcPr>
          <w:p w:rsidR="00963044" w:rsidRPr="00CC1C93" w:rsidRDefault="00963044" w:rsidP="00A47622">
            <w:pPr>
              <w:rPr>
                <w:color w:val="auto"/>
              </w:rPr>
            </w:pPr>
            <w:r w:rsidRPr="00CC1C93">
              <w:rPr>
                <w:color w:val="auto"/>
              </w:rPr>
              <w:t>№</w:t>
            </w:r>
          </w:p>
        </w:tc>
        <w:tc>
          <w:tcPr>
            <w:tcW w:w="2269" w:type="dxa"/>
            <w:tcBorders>
              <w:top w:val="single" w:sz="4" w:space="0" w:color="000000"/>
              <w:left w:val="nil"/>
              <w:bottom w:val="single" w:sz="4" w:space="0" w:color="000000"/>
              <w:right w:val="single" w:sz="4" w:space="0" w:color="000000"/>
            </w:tcBorders>
            <w:shd w:val="clear" w:color="auto" w:fill="auto"/>
            <w:hideMark/>
          </w:tcPr>
          <w:p w:rsidR="00963044" w:rsidRPr="00CC1C93" w:rsidRDefault="00963044" w:rsidP="00A47622">
            <w:pPr>
              <w:rPr>
                <w:b/>
                <w:bCs/>
                <w:color w:val="auto"/>
              </w:rPr>
            </w:pPr>
            <w:r w:rsidRPr="00CC1C93">
              <w:rPr>
                <w:b/>
                <w:bCs/>
                <w:color w:val="auto"/>
              </w:rPr>
              <w:t>Наименование ПОИ</w:t>
            </w:r>
          </w:p>
        </w:tc>
        <w:tc>
          <w:tcPr>
            <w:tcW w:w="3969" w:type="dxa"/>
            <w:tcBorders>
              <w:top w:val="single" w:sz="4" w:space="0" w:color="000000"/>
              <w:left w:val="nil"/>
              <w:bottom w:val="single" w:sz="4" w:space="0" w:color="000000"/>
              <w:right w:val="single" w:sz="4" w:space="0" w:color="000000"/>
            </w:tcBorders>
            <w:shd w:val="clear" w:color="auto" w:fill="auto"/>
            <w:hideMark/>
          </w:tcPr>
          <w:p w:rsidR="00963044" w:rsidRPr="00CC1C93" w:rsidRDefault="00963044" w:rsidP="00A47622">
            <w:pPr>
              <w:rPr>
                <w:b/>
                <w:bCs/>
                <w:color w:val="auto"/>
              </w:rPr>
            </w:pPr>
            <w:r w:rsidRPr="00CC1C93">
              <w:rPr>
                <w:rFonts w:eastAsia="Andale Sans UI"/>
                <w:b/>
                <w:bCs/>
                <w:color w:val="auto"/>
                <w:kern w:val="2"/>
              </w:rPr>
              <w:t>Функциональные и технические характеристики</w:t>
            </w:r>
          </w:p>
        </w:tc>
        <w:tc>
          <w:tcPr>
            <w:tcW w:w="1134" w:type="dxa"/>
            <w:tcBorders>
              <w:top w:val="single" w:sz="4" w:space="0" w:color="000000"/>
              <w:left w:val="nil"/>
              <w:bottom w:val="single" w:sz="4" w:space="0" w:color="000000"/>
              <w:right w:val="single" w:sz="4" w:space="0" w:color="000000"/>
            </w:tcBorders>
            <w:shd w:val="clear" w:color="auto" w:fill="auto"/>
            <w:hideMark/>
          </w:tcPr>
          <w:p w:rsidR="00963044" w:rsidRPr="00CC1C93" w:rsidRDefault="00963044" w:rsidP="00A47622">
            <w:pPr>
              <w:rPr>
                <w:b/>
                <w:bCs/>
                <w:color w:val="auto"/>
              </w:rPr>
            </w:pPr>
            <w:r w:rsidRPr="00CC1C93">
              <w:rPr>
                <w:b/>
                <w:bCs/>
                <w:color w:val="auto"/>
              </w:rPr>
              <w:t>Кол-во изд., шт.</w:t>
            </w:r>
          </w:p>
        </w:tc>
        <w:tc>
          <w:tcPr>
            <w:tcW w:w="894" w:type="dxa"/>
            <w:tcBorders>
              <w:top w:val="single" w:sz="4" w:space="0" w:color="000000"/>
              <w:left w:val="nil"/>
              <w:bottom w:val="single" w:sz="4" w:space="0" w:color="000000"/>
              <w:right w:val="single" w:sz="4" w:space="0" w:color="000000"/>
            </w:tcBorders>
          </w:tcPr>
          <w:p w:rsidR="00963044" w:rsidRPr="00CC1C93" w:rsidRDefault="00963044" w:rsidP="00A47622">
            <w:pPr>
              <w:rPr>
                <w:b/>
                <w:bCs/>
                <w:color w:val="auto"/>
              </w:rPr>
            </w:pPr>
            <w:r w:rsidRPr="00CC1C93">
              <w:rPr>
                <w:b/>
                <w:bCs/>
                <w:color w:val="auto"/>
              </w:rPr>
              <w:t>Цена</w:t>
            </w:r>
          </w:p>
          <w:p w:rsidR="00963044" w:rsidRPr="00CC1C93" w:rsidRDefault="00963044" w:rsidP="00A47622">
            <w:pPr>
              <w:rPr>
                <w:b/>
                <w:bCs/>
                <w:color w:val="auto"/>
              </w:rPr>
            </w:pPr>
            <w:r w:rsidRPr="00CC1C93">
              <w:rPr>
                <w:b/>
                <w:bCs/>
                <w:color w:val="auto"/>
              </w:rPr>
              <w:t>руб.</w:t>
            </w:r>
          </w:p>
        </w:tc>
        <w:tc>
          <w:tcPr>
            <w:tcW w:w="1799" w:type="dxa"/>
            <w:tcBorders>
              <w:top w:val="single" w:sz="4" w:space="0" w:color="000000"/>
              <w:left w:val="nil"/>
              <w:bottom w:val="single" w:sz="4" w:space="0" w:color="000000"/>
              <w:right w:val="single" w:sz="4" w:space="0" w:color="000000"/>
            </w:tcBorders>
          </w:tcPr>
          <w:p w:rsidR="00963044" w:rsidRPr="00CC1C93" w:rsidRDefault="00963044" w:rsidP="00A47622">
            <w:pPr>
              <w:rPr>
                <w:b/>
                <w:bCs/>
                <w:color w:val="auto"/>
              </w:rPr>
            </w:pPr>
            <w:proofErr w:type="gramStart"/>
            <w:r w:rsidRPr="00CC1C93">
              <w:rPr>
                <w:color w:val="auto"/>
                <w:sz w:val="22"/>
                <w:szCs w:val="22"/>
              </w:rPr>
              <w:t>Срок выполнения работ  (календарных дней</w:t>
            </w:r>
            <w:proofErr w:type="gramEnd"/>
          </w:p>
        </w:tc>
      </w:tr>
      <w:tr w:rsidR="00963044" w:rsidRPr="00CC1C93" w:rsidTr="00A47622">
        <w:trPr>
          <w:trHeight w:val="1266"/>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963044" w:rsidRPr="00CC1C93" w:rsidRDefault="00963044" w:rsidP="00CE0D92">
            <w:pPr>
              <w:jc w:val="right"/>
              <w:rPr>
                <w:color w:val="auto"/>
              </w:rPr>
            </w:pPr>
            <w:r w:rsidRPr="00CC1C93">
              <w:rPr>
                <w:color w:val="auto"/>
              </w:rPr>
              <w:t>1</w:t>
            </w:r>
          </w:p>
        </w:tc>
        <w:tc>
          <w:tcPr>
            <w:tcW w:w="2269" w:type="dxa"/>
            <w:tcBorders>
              <w:top w:val="single" w:sz="4" w:space="0" w:color="auto"/>
              <w:left w:val="nil"/>
              <w:bottom w:val="single" w:sz="4" w:space="0" w:color="auto"/>
              <w:right w:val="single" w:sz="4" w:space="0" w:color="auto"/>
            </w:tcBorders>
            <w:shd w:val="clear" w:color="auto" w:fill="auto"/>
            <w:hideMark/>
          </w:tcPr>
          <w:p w:rsidR="00963044" w:rsidRPr="00CC1C93" w:rsidRDefault="00963044" w:rsidP="00A47622">
            <w:pPr>
              <w:snapToGrid w:val="0"/>
              <w:jc w:val="center"/>
              <w:rPr>
                <w:color w:val="auto"/>
                <w:sz w:val="22"/>
                <w:szCs w:val="22"/>
              </w:rPr>
            </w:pPr>
            <w:r w:rsidRPr="00CC1C93">
              <w:rPr>
                <w:color w:val="auto"/>
                <w:sz w:val="22"/>
                <w:szCs w:val="22"/>
              </w:rPr>
              <w:t xml:space="preserve">8-09-01 </w:t>
            </w:r>
            <w:proofErr w:type="spellStart"/>
            <w:r w:rsidRPr="00CC1C93">
              <w:rPr>
                <w:color w:val="auto"/>
                <w:sz w:val="22"/>
                <w:szCs w:val="22"/>
              </w:rPr>
              <w:t>Экзопротезы</w:t>
            </w:r>
            <w:proofErr w:type="spellEnd"/>
            <w:r w:rsidRPr="00CC1C93">
              <w:rPr>
                <w:color w:val="auto"/>
                <w:sz w:val="22"/>
                <w:szCs w:val="22"/>
              </w:rPr>
              <w:t xml:space="preserve"> молочных (грудных) желез (ПГ-04)</w:t>
            </w:r>
          </w:p>
          <w:p w:rsidR="00963044" w:rsidRPr="00CC1C93" w:rsidRDefault="00963044" w:rsidP="00A47622">
            <w:pPr>
              <w:jc w:val="center"/>
              <w:rPr>
                <w:color w:val="auto"/>
                <w:sz w:val="22"/>
                <w:szCs w:val="22"/>
              </w:rPr>
            </w:pPr>
            <w:r w:rsidRPr="00CC1C93">
              <w:rPr>
                <w:color w:val="auto"/>
                <w:sz w:val="22"/>
                <w:szCs w:val="22"/>
              </w:rPr>
              <w:t>Протезы молочной (грудной) железы из силикона при односторонней ампутации</w:t>
            </w:r>
          </w:p>
          <w:p w:rsidR="00963044" w:rsidRPr="00CC1C93" w:rsidRDefault="00963044" w:rsidP="00A47622">
            <w:pPr>
              <w:jc w:val="center"/>
              <w:rPr>
                <w:rFonts w:eastAsia="Calibri"/>
                <w:color w:val="auto"/>
                <w:sz w:val="20"/>
              </w:rPr>
            </w:pPr>
            <w:r w:rsidRPr="00CC1C93">
              <w:rPr>
                <w:color w:val="auto"/>
                <w:sz w:val="22"/>
                <w:szCs w:val="22"/>
              </w:rPr>
              <w:t>(Россия)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47622" w:rsidRDefault="00A47622" w:rsidP="00CE0D92">
            <w:pPr>
              <w:rPr>
                <w:color w:val="auto"/>
                <w:sz w:val="22"/>
                <w:szCs w:val="22"/>
              </w:rPr>
            </w:pPr>
            <w:proofErr w:type="spellStart"/>
            <w:r w:rsidRPr="00A47622">
              <w:rPr>
                <w:color w:val="auto"/>
                <w:sz w:val="22"/>
                <w:szCs w:val="22"/>
              </w:rPr>
              <w:t>Экзопротез</w:t>
            </w:r>
            <w:proofErr w:type="spellEnd"/>
            <w:r w:rsidRPr="00A47622">
              <w:rPr>
                <w:color w:val="auto"/>
                <w:sz w:val="22"/>
                <w:szCs w:val="22"/>
              </w:rPr>
              <w:t xml:space="preserve"> молочной железы - </w:t>
            </w:r>
            <w:proofErr w:type="gramStart"/>
            <w:r w:rsidRPr="00A47622">
              <w:rPr>
                <w:color w:val="auto"/>
                <w:sz w:val="22"/>
                <w:szCs w:val="22"/>
              </w:rPr>
              <w:t>предназначен</w:t>
            </w:r>
            <w:proofErr w:type="gramEnd"/>
            <w:r w:rsidRPr="00A47622">
              <w:rPr>
                <w:color w:val="auto"/>
                <w:sz w:val="22"/>
                <w:szCs w:val="22"/>
              </w:rPr>
              <w:t xml:space="preserve"> для</w:t>
            </w:r>
          </w:p>
          <w:p w:rsidR="00963044" w:rsidRPr="00CC1C93" w:rsidRDefault="00963044" w:rsidP="00CE0D92">
            <w:pPr>
              <w:rPr>
                <w:rFonts w:eastAsia="Calibri"/>
                <w:color w:val="auto"/>
                <w:spacing w:val="-2"/>
                <w:sz w:val="20"/>
              </w:rPr>
            </w:pPr>
            <w:r w:rsidRPr="00CC1C93">
              <w:rPr>
                <w:color w:val="auto"/>
                <w:sz w:val="22"/>
                <w:szCs w:val="22"/>
              </w:rPr>
              <w:t xml:space="preserve">коррекции размера и формы груди у женщин после операции </w:t>
            </w:r>
            <w:proofErr w:type="spellStart"/>
            <w:r w:rsidRPr="00CC1C93">
              <w:rPr>
                <w:color w:val="auto"/>
                <w:sz w:val="22"/>
                <w:szCs w:val="22"/>
              </w:rPr>
              <w:t>мастэктомии</w:t>
            </w:r>
            <w:proofErr w:type="spellEnd"/>
            <w:r w:rsidRPr="00CC1C93">
              <w:rPr>
                <w:color w:val="auto"/>
                <w:sz w:val="22"/>
                <w:szCs w:val="22"/>
              </w:rPr>
              <w:t xml:space="preserve">. Должен быть ассиметричной или симметричной формы из полиуретановой пленки, заполненной силиконовым гелем. Силикон и полиуретановая оболочка производятся из натурального сырья. Полиуретановая оболочка имеет структуру, близкую к структуре кожи, за счет чего создается ощущение естественности.  В </w:t>
            </w:r>
            <w:proofErr w:type="spellStart"/>
            <w:r w:rsidRPr="00CC1C93">
              <w:rPr>
                <w:color w:val="auto"/>
                <w:sz w:val="22"/>
                <w:szCs w:val="22"/>
              </w:rPr>
              <w:t>экзопротезе</w:t>
            </w:r>
            <w:proofErr w:type="spellEnd"/>
            <w:r w:rsidRPr="00CC1C93">
              <w:rPr>
                <w:color w:val="auto"/>
                <w:sz w:val="22"/>
                <w:szCs w:val="22"/>
              </w:rPr>
              <w:t xml:space="preserve"> грудной железы не допускаются механические повреждения, проколы.</w:t>
            </w:r>
            <w:r w:rsidRPr="00CC1C93">
              <w:rPr>
                <w:color w:val="auto"/>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963044" w:rsidRPr="00CC1C93" w:rsidRDefault="00963044" w:rsidP="00CE0D92">
            <w:pPr>
              <w:jc w:val="center"/>
              <w:rPr>
                <w:color w:val="auto"/>
              </w:rPr>
            </w:pPr>
            <w:r w:rsidRPr="00CC1C93">
              <w:rPr>
                <w:color w:val="auto"/>
              </w:rPr>
              <w:t>250</w:t>
            </w:r>
          </w:p>
        </w:tc>
        <w:tc>
          <w:tcPr>
            <w:tcW w:w="894" w:type="dxa"/>
            <w:tcBorders>
              <w:top w:val="single" w:sz="4" w:space="0" w:color="auto"/>
              <w:left w:val="nil"/>
              <w:bottom w:val="single" w:sz="4" w:space="0" w:color="auto"/>
              <w:right w:val="single" w:sz="4" w:space="0" w:color="auto"/>
            </w:tcBorders>
          </w:tcPr>
          <w:p w:rsidR="00963044" w:rsidRPr="00CC1C93" w:rsidRDefault="00963044" w:rsidP="00CE0D92">
            <w:pPr>
              <w:rPr>
                <w:color w:val="auto"/>
              </w:rPr>
            </w:pPr>
          </w:p>
        </w:tc>
        <w:tc>
          <w:tcPr>
            <w:tcW w:w="1799" w:type="dxa"/>
            <w:tcBorders>
              <w:top w:val="single" w:sz="4" w:space="0" w:color="auto"/>
              <w:left w:val="nil"/>
              <w:bottom w:val="single" w:sz="4" w:space="0" w:color="auto"/>
              <w:right w:val="single" w:sz="4" w:space="0" w:color="auto"/>
            </w:tcBorders>
          </w:tcPr>
          <w:p w:rsidR="00963044" w:rsidRPr="00CC1C93" w:rsidRDefault="00963044" w:rsidP="00CE0D92">
            <w:pPr>
              <w:jc w:val="center"/>
              <w:rPr>
                <w:color w:val="auto"/>
              </w:rPr>
            </w:pPr>
            <w:r w:rsidRPr="00CC1C93">
              <w:rPr>
                <w:color w:val="auto"/>
              </w:rPr>
              <w:t>60</w:t>
            </w:r>
          </w:p>
        </w:tc>
      </w:tr>
      <w:tr w:rsidR="00963044" w:rsidRPr="00CC1C93" w:rsidTr="00A47622">
        <w:trPr>
          <w:trHeight w:val="1266"/>
        </w:trPr>
        <w:tc>
          <w:tcPr>
            <w:tcW w:w="807" w:type="dxa"/>
            <w:tcBorders>
              <w:top w:val="single" w:sz="4" w:space="0" w:color="auto"/>
              <w:left w:val="single" w:sz="4" w:space="0" w:color="auto"/>
              <w:bottom w:val="single" w:sz="4" w:space="0" w:color="auto"/>
              <w:right w:val="single" w:sz="4" w:space="0" w:color="auto"/>
            </w:tcBorders>
            <w:shd w:val="clear" w:color="auto" w:fill="auto"/>
            <w:noWrap/>
          </w:tcPr>
          <w:p w:rsidR="00963044" w:rsidRPr="00CC1C93" w:rsidRDefault="00963044" w:rsidP="00CE0D92">
            <w:pPr>
              <w:jc w:val="right"/>
              <w:rPr>
                <w:color w:val="auto"/>
              </w:rPr>
            </w:pPr>
            <w:r w:rsidRPr="00CC1C93">
              <w:rPr>
                <w:color w:val="auto"/>
              </w:rPr>
              <w:t>2</w:t>
            </w:r>
          </w:p>
        </w:tc>
        <w:tc>
          <w:tcPr>
            <w:tcW w:w="2269" w:type="dxa"/>
            <w:tcBorders>
              <w:top w:val="single" w:sz="4" w:space="0" w:color="auto"/>
              <w:left w:val="nil"/>
              <w:bottom w:val="single" w:sz="4" w:space="0" w:color="auto"/>
              <w:right w:val="single" w:sz="4" w:space="0" w:color="auto"/>
            </w:tcBorders>
            <w:shd w:val="clear" w:color="auto" w:fill="auto"/>
          </w:tcPr>
          <w:p w:rsidR="00963044" w:rsidRPr="00CC1C93" w:rsidRDefault="00963044" w:rsidP="00A47622">
            <w:pPr>
              <w:snapToGrid w:val="0"/>
              <w:jc w:val="center"/>
              <w:rPr>
                <w:color w:val="auto"/>
                <w:sz w:val="22"/>
                <w:szCs w:val="22"/>
              </w:rPr>
            </w:pPr>
            <w:r w:rsidRPr="00CC1C93">
              <w:rPr>
                <w:color w:val="auto"/>
                <w:sz w:val="22"/>
                <w:szCs w:val="22"/>
              </w:rPr>
              <w:t xml:space="preserve">8-09-01 </w:t>
            </w:r>
            <w:proofErr w:type="spellStart"/>
            <w:r w:rsidRPr="00CC1C93">
              <w:rPr>
                <w:color w:val="auto"/>
                <w:sz w:val="22"/>
                <w:szCs w:val="22"/>
              </w:rPr>
              <w:t>Экзопротезы</w:t>
            </w:r>
            <w:proofErr w:type="spellEnd"/>
            <w:r w:rsidRPr="00CC1C93">
              <w:rPr>
                <w:color w:val="auto"/>
                <w:sz w:val="22"/>
                <w:szCs w:val="22"/>
              </w:rPr>
              <w:t xml:space="preserve"> молочных (грудных) желез (ПГ-СО-11)</w:t>
            </w:r>
          </w:p>
          <w:p w:rsidR="00963044" w:rsidRPr="00CC1C93" w:rsidRDefault="00963044" w:rsidP="00A47622">
            <w:pPr>
              <w:snapToGrid w:val="0"/>
              <w:jc w:val="center"/>
              <w:rPr>
                <w:color w:val="auto"/>
                <w:sz w:val="22"/>
                <w:szCs w:val="22"/>
              </w:rPr>
            </w:pPr>
            <w:r w:rsidRPr="00CC1C93">
              <w:rPr>
                <w:color w:val="auto"/>
                <w:sz w:val="22"/>
                <w:szCs w:val="22"/>
              </w:rPr>
              <w:t>Протезы молочной (грудной) железы из силикона при парной ампутации. (Россия)</w:t>
            </w:r>
          </w:p>
        </w:tc>
        <w:tc>
          <w:tcPr>
            <w:tcW w:w="3969" w:type="dxa"/>
            <w:tcBorders>
              <w:top w:val="single" w:sz="4" w:space="0" w:color="auto"/>
              <w:left w:val="nil"/>
              <w:bottom w:val="single" w:sz="4" w:space="0" w:color="auto"/>
              <w:right w:val="single" w:sz="4" w:space="0" w:color="auto"/>
            </w:tcBorders>
            <w:shd w:val="clear" w:color="auto" w:fill="auto"/>
            <w:vAlign w:val="center"/>
          </w:tcPr>
          <w:p w:rsidR="00963044" w:rsidRPr="00CC1C93" w:rsidRDefault="00A47622" w:rsidP="00A47622">
            <w:pPr>
              <w:rPr>
                <w:color w:val="auto"/>
                <w:sz w:val="22"/>
                <w:szCs w:val="22"/>
              </w:rPr>
            </w:pPr>
            <w:proofErr w:type="spellStart"/>
            <w:r>
              <w:rPr>
                <w:color w:val="auto"/>
                <w:sz w:val="22"/>
                <w:szCs w:val="22"/>
              </w:rPr>
              <w:t>Экзопротез</w:t>
            </w:r>
            <w:proofErr w:type="spellEnd"/>
            <w:r w:rsidRPr="00A47622">
              <w:rPr>
                <w:color w:val="auto"/>
                <w:sz w:val="22"/>
                <w:szCs w:val="22"/>
              </w:rPr>
              <w:t xml:space="preserve"> молочной железы - </w:t>
            </w:r>
            <w:proofErr w:type="gramStart"/>
            <w:r w:rsidRPr="00A47622">
              <w:rPr>
                <w:color w:val="auto"/>
                <w:sz w:val="22"/>
                <w:szCs w:val="22"/>
              </w:rPr>
              <w:t>предназначен</w:t>
            </w:r>
            <w:proofErr w:type="gramEnd"/>
            <w:r w:rsidRPr="00A47622">
              <w:rPr>
                <w:color w:val="auto"/>
                <w:sz w:val="22"/>
                <w:szCs w:val="22"/>
              </w:rPr>
              <w:t xml:space="preserve"> для </w:t>
            </w:r>
            <w:r w:rsidR="00963044" w:rsidRPr="00CC1C93">
              <w:rPr>
                <w:color w:val="auto"/>
                <w:sz w:val="22"/>
                <w:szCs w:val="22"/>
              </w:rPr>
              <w:t xml:space="preserve">коррекции размера и формы груди у женщин после операции </w:t>
            </w:r>
            <w:proofErr w:type="spellStart"/>
            <w:r w:rsidR="00963044" w:rsidRPr="00CC1C93">
              <w:rPr>
                <w:color w:val="auto"/>
                <w:sz w:val="22"/>
                <w:szCs w:val="22"/>
              </w:rPr>
              <w:t>мастэктомии</w:t>
            </w:r>
            <w:proofErr w:type="spellEnd"/>
            <w:r w:rsidR="00963044" w:rsidRPr="00CC1C93">
              <w:rPr>
                <w:color w:val="auto"/>
                <w:sz w:val="22"/>
                <w:szCs w:val="22"/>
              </w:rPr>
              <w:t xml:space="preserve">. Должен быть ассиметричной или симметричной формы из полиуретановой пленки, заполненной силиконовым гелем. Силикон и полиуретановая оболочка производятся из натурального сырья. Полиуретановая оболочка имеет структуру, близкую к структуре кожи, за счет чего создается ощущение естественности.  В </w:t>
            </w:r>
            <w:proofErr w:type="spellStart"/>
            <w:r w:rsidR="00963044" w:rsidRPr="00CC1C93">
              <w:rPr>
                <w:color w:val="auto"/>
                <w:sz w:val="22"/>
                <w:szCs w:val="22"/>
              </w:rPr>
              <w:t>экзопротезе</w:t>
            </w:r>
            <w:proofErr w:type="spellEnd"/>
            <w:r w:rsidR="00963044" w:rsidRPr="00CC1C93">
              <w:rPr>
                <w:color w:val="auto"/>
                <w:sz w:val="22"/>
                <w:szCs w:val="22"/>
              </w:rPr>
              <w:t xml:space="preserve"> грудной железы не допускаются механические повреждения, проколы.</w:t>
            </w:r>
            <w:r w:rsidR="00963044" w:rsidRPr="00CC1C93">
              <w:rPr>
                <w:color w:val="auto"/>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963044" w:rsidRPr="00CC1C93" w:rsidRDefault="00963044" w:rsidP="00CE0D92">
            <w:pPr>
              <w:jc w:val="center"/>
              <w:rPr>
                <w:color w:val="auto"/>
              </w:rPr>
            </w:pPr>
            <w:r w:rsidRPr="00CC1C93">
              <w:rPr>
                <w:color w:val="auto"/>
              </w:rPr>
              <w:t>10</w:t>
            </w:r>
          </w:p>
        </w:tc>
        <w:tc>
          <w:tcPr>
            <w:tcW w:w="894" w:type="dxa"/>
            <w:tcBorders>
              <w:top w:val="single" w:sz="4" w:space="0" w:color="auto"/>
              <w:left w:val="nil"/>
              <w:bottom w:val="single" w:sz="4" w:space="0" w:color="auto"/>
              <w:right w:val="single" w:sz="4" w:space="0" w:color="auto"/>
            </w:tcBorders>
          </w:tcPr>
          <w:p w:rsidR="00963044" w:rsidRPr="00CC1C93" w:rsidRDefault="00963044" w:rsidP="00CE0D92">
            <w:pPr>
              <w:rPr>
                <w:color w:val="auto"/>
              </w:rPr>
            </w:pPr>
          </w:p>
        </w:tc>
        <w:tc>
          <w:tcPr>
            <w:tcW w:w="1799" w:type="dxa"/>
            <w:tcBorders>
              <w:top w:val="single" w:sz="4" w:space="0" w:color="auto"/>
              <w:left w:val="nil"/>
              <w:bottom w:val="single" w:sz="4" w:space="0" w:color="auto"/>
              <w:right w:val="single" w:sz="4" w:space="0" w:color="auto"/>
            </w:tcBorders>
          </w:tcPr>
          <w:p w:rsidR="00963044" w:rsidRPr="00CC1C93" w:rsidRDefault="00963044" w:rsidP="00CE0D92">
            <w:pPr>
              <w:rPr>
                <w:color w:val="auto"/>
              </w:rPr>
            </w:pPr>
            <w:r w:rsidRPr="00CC1C93">
              <w:rPr>
                <w:color w:val="auto"/>
              </w:rPr>
              <w:t>60</w:t>
            </w:r>
          </w:p>
        </w:tc>
      </w:tr>
      <w:tr w:rsidR="00963044" w:rsidRPr="00CC1C93" w:rsidTr="00A47622">
        <w:trPr>
          <w:trHeight w:val="1266"/>
        </w:trPr>
        <w:tc>
          <w:tcPr>
            <w:tcW w:w="807" w:type="dxa"/>
            <w:tcBorders>
              <w:top w:val="single" w:sz="4" w:space="0" w:color="auto"/>
              <w:left w:val="single" w:sz="4" w:space="0" w:color="auto"/>
              <w:bottom w:val="single" w:sz="4" w:space="0" w:color="auto"/>
              <w:right w:val="single" w:sz="4" w:space="0" w:color="auto"/>
            </w:tcBorders>
            <w:shd w:val="clear" w:color="auto" w:fill="auto"/>
            <w:noWrap/>
          </w:tcPr>
          <w:p w:rsidR="00963044" w:rsidRPr="00CC1C93" w:rsidRDefault="00963044" w:rsidP="00CE0D92">
            <w:pPr>
              <w:jc w:val="right"/>
              <w:rPr>
                <w:color w:val="auto"/>
              </w:rPr>
            </w:pPr>
            <w:r w:rsidRPr="00CC1C93">
              <w:rPr>
                <w:color w:val="auto"/>
              </w:rPr>
              <w:lastRenderedPageBreak/>
              <w:t>3.</w:t>
            </w:r>
          </w:p>
        </w:tc>
        <w:tc>
          <w:tcPr>
            <w:tcW w:w="2269" w:type="dxa"/>
            <w:tcBorders>
              <w:top w:val="single" w:sz="4" w:space="0" w:color="auto"/>
              <w:left w:val="nil"/>
              <w:bottom w:val="single" w:sz="4" w:space="0" w:color="auto"/>
              <w:right w:val="single" w:sz="4" w:space="0" w:color="auto"/>
            </w:tcBorders>
            <w:shd w:val="clear" w:color="auto" w:fill="auto"/>
          </w:tcPr>
          <w:p w:rsidR="00963044" w:rsidRPr="00CC1C93" w:rsidRDefault="00963044" w:rsidP="00A47622">
            <w:pPr>
              <w:snapToGrid w:val="0"/>
              <w:jc w:val="center"/>
              <w:rPr>
                <w:color w:val="auto"/>
                <w:sz w:val="22"/>
                <w:szCs w:val="22"/>
              </w:rPr>
            </w:pPr>
            <w:r w:rsidRPr="00CC1C93">
              <w:rPr>
                <w:color w:val="auto"/>
                <w:spacing w:val="-4"/>
                <w:sz w:val="22"/>
                <w:szCs w:val="22"/>
              </w:rPr>
              <w:t>8-09-21 Бюстгальтеры (лиф крепление) и/или грация (</w:t>
            </w:r>
            <w:proofErr w:type="spellStart"/>
            <w:r w:rsidRPr="00CC1C93">
              <w:rPr>
                <w:color w:val="auto"/>
                <w:spacing w:val="-4"/>
                <w:sz w:val="22"/>
                <w:szCs w:val="22"/>
              </w:rPr>
              <w:t>полуграция</w:t>
            </w:r>
            <w:proofErr w:type="spellEnd"/>
            <w:r w:rsidRPr="00CC1C93">
              <w:rPr>
                <w:color w:val="auto"/>
                <w:spacing w:val="-4"/>
                <w:sz w:val="22"/>
                <w:szCs w:val="22"/>
              </w:rPr>
              <w:t xml:space="preserve">) для фиксации </w:t>
            </w:r>
            <w:proofErr w:type="spellStart"/>
            <w:r w:rsidRPr="00CC1C93">
              <w:rPr>
                <w:color w:val="auto"/>
                <w:spacing w:val="-4"/>
                <w:sz w:val="22"/>
                <w:szCs w:val="22"/>
              </w:rPr>
              <w:t>экзопротеза</w:t>
            </w:r>
            <w:proofErr w:type="spellEnd"/>
            <w:r w:rsidRPr="00CC1C93">
              <w:rPr>
                <w:color w:val="auto"/>
                <w:spacing w:val="-4"/>
                <w:sz w:val="22"/>
                <w:szCs w:val="22"/>
              </w:rPr>
              <w:t xml:space="preserve"> молочной железы из </w:t>
            </w:r>
            <w:proofErr w:type="gramStart"/>
            <w:r w:rsidRPr="00CC1C93">
              <w:rPr>
                <w:color w:val="auto"/>
                <w:spacing w:val="-4"/>
                <w:sz w:val="22"/>
                <w:szCs w:val="22"/>
              </w:rPr>
              <w:t>х/б</w:t>
            </w:r>
            <w:proofErr w:type="gramEnd"/>
            <w:r w:rsidRPr="00CC1C93">
              <w:rPr>
                <w:color w:val="auto"/>
                <w:spacing w:val="-4"/>
                <w:sz w:val="22"/>
                <w:szCs w:val="22"/>
              </w:rPr>
              <w:t xml:space="preserve"> ткани.</w:t>
            </w:r>
            <w:r w:rsidRPr="00CC1C93">
              <w:rPr>
                <w:color w:val="auto"/>
                <w:sz w:val="22"/>
                <w:szCs w:val="22"/>
              </w:rPr>
              <w:t xml:space="preserve"> (Россия)</w:t>
            </w:r>
          </w:p>
        </w:tc>
        <w:tc>
          <w:tcPr>
            <w:tcW w:w="3969" w:type="dxa"/>
            <w:tcBorders>
              <w:top w:val="single" w:sz="4" w:space="0" w:color="auto"/>
              <w:left w:val="nil"/>
              <w:bottom w:val="single" w:sz="4" w:space="0" w:color="auto"/>
              <w:right w:val="single" w:sz="4" w:space="0" w:color="auto"/>
            </w:tcBorders>
            <w:shd w:val="clear" w:color="auto" w:fill="auto"/>
            <w:vAlign w:val="center"/>
          </w:tcPr>
          <w:p w:rsidR="00963044" w:rsidRPr="00CC1C93" w:rsidRDefault="00963044" w:rsidP="00CE0D92">
            <w:pPr>
              <w:rPr>
                <w:color w:val="auto"/>
                <w:sz w:val="22"/>
                <w:szCs w:val="22"/>
              </w:rPr>
            </w:pPr>
            <w:r w:rsidRPr="00CC1C93">
              <w:rPr>
                <w:color w:val="auto"/>
                <w:sz w:val="22"/>
                <w:szCs w:val="22"/>
              </w:rPr>
              <w:t>Лифы-бюстгальтеры специальной конструкции должны быть совместимые со всеми формами протезов молочной железы. Материалы должны быть из хлопчатобумажных корсетных тканей, эластичные материалы, хлопчатобумажная вышитая ткань, кружевное полотно. Регулировка бретелей должна быть по длине (в зависимости от размера). Застежка должна быть сзади. Крепление должны быть на крючках. Цветовое исполнение: черные, белые, бежевые. Накладной карман для фиксации протеза молочной железы должен быть  вшит в чашку бюстгальтера.</w:t>
            </w:r>
          </w:p>
        </w:tc>
        <w:tc>
          <w:tcPr>
            <w:tcW w:w="1134" w:type="dxa"/>
            <w:tcBorders>
              <w:top w:val="single" w:sz="4" w:space="0" w:color="auto"/>
              <w:left w:val="nil"/>
              <w:bottom w:val="single" w:sz="4" w:space="0" w:color="auto"/>
              <w:right w:val="single" w:sz="4" w:space="0" w:color="auto"/>
            </w:tcBorders>
            <w:shd w:val="clear" w:color="auto" w:fill="auto"/>
          </w:tcPr>
          <w:p w:rsidR="00963044" w:rsidRPr="00CC1C93" w:rsidRDefault="00963044" w:rsidP="00CE0D92">
            <w:pPr>
              <w:jc w:val="center"/>
              <w:rPr>
                <w:color w:val="auto"/>
              </w:rPr>
            </w:pPr>
            <w:r w:rsidRPr="00CC1C93">
              <w:rPr>
                <w:color w:val="auto"/>
              </w:rPr>
              <w:t>520</w:t>
            </w:r>
          </w:p>
        </w:tc>
        <w:tc>
          <w:tcPr>
            <w:tcW w:w="894" w:type="dxa"/>
            <w:tcBorders>
              <w:top w:val="single" w:sz="4" w:space="0" w:color="auto"/>
              <w:left w:val="nil"/>
              <w:bottom w:val="single" w:sz="4" w:space="0" w:color="auto"/>
              <w:right w:val="single" w:sz="4" w:space="0" w:color="auto"/>
            </w:tcBorders>
          </w:tcPr>
          <w:p w:rsidR="00963044" w:rsidRPr="00CC1C93" w:rsidRDefault="00963044" w:rsidP="00CE0D92">
            <w:pPr>
              <w:rPr>
                <w:color w:val="auto"/>
              </w:rPr>
            </w:pPr>
          </w:p>
        </w:tc>
        <w:tc>
          <w:tcPr>
            <w:tcW w:w="1799" w:type="dxa"/>
            <w:tcBorders>
              <w:top w:val="single" w:sz="4" w:space="0" w:color="auto"/>
              <w:left w:val="nil"/>
              <w:bottom w:val="single" w:sz="4" w:space="0" w:color="auto"/>
              <w:right w:val="single" w:sz="4" w:space="0" w:color="auto"/>
            </w:tcBorders>
          </w:tcPr>
          <w:p w:rsidR="00963044" w:rsidRPr="00CC1C93" w:rsidRDefault="00963044" w:rsidP="00CE0D92">
            <w:pPr>
              <w:jc w:val="center"/>
              <w:rPr>
                <w:color w:val="auto"/>
              </w:rPr>
            </w:pPr>
          </w:p>
        </w:tc>
      </w:tr>
      <w:tr w:rsidR="00963044" w:rsidRPr="00CC1C93" w:rsidTr="00A47622">
        <w:trPr>
          <w:trHeight w:val="28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963044" w:rsidRPr="00CC1C93" w:rsidRDefault="00963044" w:rsidP="00CE0D92">
            <w:pPr>
              <w:rPr>
                <w:color w:val="auto"/>
              </w:rPr>
            </w:pPr>
            <w:r w:rsidRPr="00CC1C93">
              <w:rPr>
                <w:color w:val="auto"/>
              </w:rPr>
              <w:t> </w:t>
            </w:r>
          </w:p>
        </w:tc>
        <w:tc>
          <w:tcPr>
            <w:tcW w:w="2269" w:type="dxa"/>
            <w:tcBorders>
              <w:top w:val="nil"/>
              <w:left w:val="nil"/>
              <w:bottom w:val="single" w:sz="4" w:space="0" w:color="auto"/>
              <w:right w:val="single" w:sz="4" w:space="0" w:color="auto"/>
            </w:tcBorders>
            <w:shd w:val="clear" w:color="auto" w:fill="auto"/>
            <w:vAlign w:val="bottom"/>
            <w:hideMark/>
          </w:tcPr>
          <w:p w:rsidR="00963044" w:rsidRPr="00CC1C93" w:rsidRDefault="00963044" w:rsidP="00CE0D92">
            <w:pPr>
              <w:rPr>
                <w:b/>
                <w:bCs/>
                <w:color w:val="auto"/>
              </w:rPr>
            </w:pPr>
            <w:r w:rsidRPr="00CC1C93">
              <w:rPr>
                <w:b/>
                <w:bCs/>
                <w:color w:val="auto"/>
              </w:rPr>
              <w:t xml:space="preserve">  </w:t>
            </w:r>
          </w:p>
        </w:tc>
        <w:tc>
          <w:tcPr>
            <w:tcW w:w="3969" w:type="dxa"/>
            <w:tcBorders>
              <w:top w:val="nil"/>
              <w:left w:val="nil"/>
              <w:bottom w:val="single" w:sz="4" w:space="0" w:color="auto"/>
              <w:right w:val="single" w:sz="4" w:space="0" w:color="auto"/>
            </w:tcBorders>
            <w:shd w:val="clear" w:color="auto" w:fill="auto"/>
            <w:vAlign w:val="bottom"/>
            <w:hideMark/>
          </w:tcPr>
          <w:p w:rsidR="00963044" w:rsidRPr="00CC1C93" w:rsidRDefault="00963044" w:rsidP="00CE0D92">
            <w:pPr>
              <w:rPr>
                <w:b/>
                <w:color w:val="auto"/>
              </w:rPr>
            </w:pPr>
            <w:r w:rsidRPr="00CC1C93">
              <w:rPr>
                <w:color w:val="auto"/>
              </w:rPr>
              <w:t xml:space="preserve">                      </w:t>
            </w:r>
            <w:r w:rsidRPr="00CC1C93">
              <w:rPr>
                <w:b/>
                <w:color w:val="auto"/>
              </w:rPr>
              <w:t>Итого:</w:t>
            </w:r>
          </w:p>
        </w:tc>
        <w:tc>
          <w:tcPr>
            <w:tcW w:w="1134" w:type="dxa"/>
            <w:tcBorders>
              <w:top w:val="nil"/>
              <w:left w:val="nil"/>
              <w:bottom w:val="single" w:sz="4" w:space="0" w:color="auto"/>
              <w:right w:val="single" w:sz="4" w:space="0" w:color="auto"/>
            </w:tcBorders>
            <w:shd w:val="clear" w:color="auto" w:fill="auto"/>
            <w:vAlign w:val="bottom"/>
            <w:hideMark/>
          </w:tcPr>
          <w:p w:rsidR="00963044" w:rsidRPr="00CC1C93" w:rsidRDefault="00963044" w:rsidP="00CE0D92">
            <w:pPr>
              <w:jc w:val="center"/>
              <w:rPr>
                <w:b/>
                <w:bCs/>
                <w:color w:val="auto"/>
              </w:rPr>
            </w:pPr>
          </w:p>
        </w:tc>
        <w:tc>
          <w:tcPr>
            <w:tcW w:w="894" w:type="dxa"/>
            <w:tcBorders>
              <w:top w:val="nil"/>
              <w:left w:val="nil"/>
              <w:bottom w:val="single" w:sz="4" w:space="0" w:color="auto"/>
              <w:right w:val="single" w:sz="4" w:space="0" w:color="auto"/>
            </w:tcBorders>
          </w:tcPr>
          <w:p w:rsidR="00963044" w:rsidRPr="00CC1C93" w:rsidRDefault="00963044" w:rsidP="00CE0D92">
            <w:pPr>
              <w:rPr>
                <w:b/>
                <w:bCs/>
                <w:color w:val="auto"/>
              </w:rPr>
            </w:pPr>
          </w:p>
        </w:tc>
        <w:tc>
          <w:tcPr>
            <w:tcW w:w="1799" w:type="dxa"/>
            <w:tcBorders>
              <w:top w:val="nil"/>
              <w:left w:val="nil"/>
              <w:bottom w:val="single" w:sz="4" w:space="0" w:color="auto"/>
              <w:right w:val="single" w:sz="4" w:space="0" w:color="auto"/>
            </w:tcBorders>
          </w:tcPr>
          <w:p w:rsidR="00963044" w:rsidRPr="00CC1C93" w:rsidRDefault="00963044" w:rsidP="00CE0D92">
            <w:pPr>
              <w:rPr>
                <w:b/>
                <w:bCs/>
                <w:color w:val="auto"/>
              </w:rPr>
            </w:pPr>
          </w:p>
        </w:tc>
      </w:tr>
    </w:tbl>
    <w:p w:rsidR="00963044" w:rsidRPr="00CC1C93" w:rsidRDefault="00963044" w:rsidP="00963044">
      <w:pPr>
        <w:ind w:left="45" w:firstLine="663"/>
        <w:jc w:val="both"/>
        <w:rPr>
          <w:color w:val="auto"/>
        </w:rPr>
      </w:pPr>
    </w:p>
    <w:p w:rsidR="00963044" w:rsidRPr="00CC1C93" w:rsidRDefault="00963044" w:rsidP="00963044">
      <w:pPr>
        <w:ind w:left="45" w:firstLine="663"/>
        <w:jc w:val="both"/>
        <w:rPr>
          <w:b/>
          <w:color w:val="auto"/>
          <w:lang w:eastAsia="ar-SA"/>
        </w:rPr>
      </w:pPr>
      <w:r w:rsidRPr="00CC1C93">
        <w:rPr>
          <w:color w:val="auto"/>
        </w:rPr>
        <w:t xml:space="preserve">При выполнении работ осуществлен контроль при примерке и обеспечении получателей указанными средствами реабилитации.    </w:t>
      </w:r>
    </w:p>
    <w:p w:rsidR="00963044" w:rsidRPr="00CC1C93" w:rsidRDefault="00963044" w:rsidP="00963044">
      <w:pPr>
        <w:ind w:firstLine="720"/>
        <w:jc w:val="both"/>
        <w:rPr>
          <w:color w:val="auto"/>
          <w:szCs w:val="28"/>
        </w:rPr>
      </w:pPr>
      <w:r w:rsidRPr="00CC1C93">
        <w:rPr>
          <w:color w:val="auto"/>
        </w:rPr>
        <w:t xml:space="preserve">К </w:t>
      </w:r>
      <w:proofErr w:type="spellStart"/>
      <w:r w:rsidRPr="00CC1C93">
        <w:rPr>
          <w:color w:val="auto"/>
        </w:rPr>
        <w:t>экзопротезу</w:t>
      </w:r>
      <w:proofErr w:type="spellEnd"/>
      <w:r w:rsidRPr="00CC1C93">
        <w:rPr>
          <w:color w:val="auto"/>
        </w:rPr>
        <w:t xml:space="preserve"> молочной железы предъявляются следующие требования:</w:t>
      </w:r>
    </w:p>
    <w:p w:rsidR="00963044" w:rsidRPr="00CC1C93" w:rsidRDefault="00963044" w:rsidP="00963044">
      <w:pPr>
        <w:ind w:left="708" w:firstLine="12"/>
        <w:jc w:val="both"/>
        <w:rPr>
          <w:color w:val="auto"/>
        </w:rPr>
      </w:pPr>
      <w:r w:rsidRPr="00CC1C93">
        <w:rPr>
          <w:color w:val="auto"/>
        </w:rPr>
        <w:t>-отсутствие механического раздражающего действия на послеоперационный рубец;</w:t>
      </w:r>
    </w:p>
    <w:p w:rsidR="00963044" w:rsidRPr="00CC1C93" w:rsidRDefault="00963044" w:rsidP="00963044">
      <w:pPr>
        <w:ind w:left="708" w:firstLine="12"/>
        <w:jc w:val="both"/>
        <w:rPr>
          <w:color w:val="auto"/>
        </w:rPr>
      </w:pPr>
      <w:r w:rsidRPr="00CC1C93">
        <w:rPr>
          <w:color w:val="auto"/>
        </w:rPr>
        <w:t>-химическая инертность к физиологическим выделениям кожи;</w:t>
      </w:r>
    </w:p>
    <w:p w:rsidR="00963044" w:rsidRPr="00CC1C93" w:rsidRDefault="00963044" w:rsidP="00963044">
      <w:pPr>
        <w:ind w:left="708" w:firstLine="12"/>
        <w:jc w:val="both"/>
        <w:rPr>
          <w:color w:val="auto"/>
        </w:rPr>
      </w:pPr>
      <w:r w:rsidRPr="00CC1C93">
        <w:rPr>
          <w:color w:val="auto"/>
        </w:rPr>
        <w:t>-протез не должен ограничивать движения туловища рук;</w:t>
      </w:r>
    </w:p>
    <w:p w:rsidR="00963044" w:rsidRPr="00CC1C93" w:rsidRDefault="00963044" w:rsidP="00963044">
      <w:pPr>
        <w:ind w:firstLine="720"/>
        <w:jc w:val="both"/>
        <w:rPr>
          <w:color w:val="auto"/>
        </w:rPr>
      </w:pPr>
      <w:r w:rsidRPr="00CC1C93">
        <w:rPr>
          <w:color w:val="auto"/>
        </w:rPr>
        <w:t>-сохранение симметричности молочных желез;</w:t>
      </w:r>
    </w:p>
    <w:p w:rsidR="00963044" w:rsidRPr="00CC1C93" w:rsidRDefault="00963044" w:rsidP="00963044">
      <w:pPr>
        <w:ind w:firstLine="720"/>
        <w:jc w:val="both"/>
        <w:rPr>
          <w:color w:val="auto"/>
        </w:rPr>
      </w:pPr>
      <w:r w:rsidRPr="00CC1C93">
        <w:rPr>
          <w:color w:val="auto"/>
        </w:rPr>
        <w:t xml:space="preserve">- давление протеза и элементов крепления на тело не вызывает нарушения кровообращения и неприятных ощущений.  </w:t>
      </w:r>
    </w:p>
    <w:p w:rsidR="00963044" w:rsidRPr="00CC1C93" w:rsidRDefault="00963044" w:rsidP="00963044">
      <w:pPr>
        <w:ind w:firstLine="720"/>
        <w:jc w:val="both"/>
        <w:rPr>
          <w:color w:val="auto"/>
        </w:rPr>
      </w:pPr>
      <w:r w:rsidRPr="00CC1C93">
        <w:rPr>
          <w:color w:val="auto"/>
        </w:rPr>
        <w:t xml:space="preserve">В соответствии с ГОСТ </w:t>
      </w:r>
      <w:proofErr w:type="gramStart"/>
      <w:r w:rsidRPr="00CC1C93">
        <w:rPr>
          <w:color w:val="auto"/>
        </w:rPr>
        <w:t>Р</w:t>
      </w:r>
      <w:proofErr w:type="gramEnd"/>
      <w:r w:rsidRPr="00CC1C93">
        <w:rPr>
          <w:color w:val="auto"/>
        </w:rPr>
        <w:t xml:space="preserve"> 54408-2021 «Одежда специальная </w:t>
      </w:r>
      <w:proofErr w:type="spellStart"/>
      <w:r w:rsidRPr="00CC1C93">
        <w:rPr>
          <w:color w:val="auto"/>
        </w:rPr>
        <w:t>дляполучателей</w:t>
      </w:r>
      <w:proofErr w:type="spellEnd"/>
      <w:r w:rsidRPr="00CC1C93">
        <w:rPr>
          <w:color w:val="auto"/>
        </w:rPr>
        <w:t>. Общие технические условия»:</w:t>
      </w:r>
    </w:p>
    <w:p w:rsidR="00963044" w:rsidRPr="00CC1C93" w:rsidRDefault="00963044" w:rsidP="00963044">
      <w:pPr>
        <w:ind w:firstLine="720"/>
        <w:jc w:val="both"/>
        <w:rPr>
          <w:color w:val="auto"/>
        </w:rPr>
      </w:pPr>
      <w:proofErr w:type="gramStart"/>
      <w:r w:rsidRPr="00CC1C93">
        <w:rPr>
          <w:color w:val="auto"/>
        </w:rPr>
        <w:t xml:space="preserve">«6.1.7 одежда для получателя с последствиями радикальной </w:t>
      </w:r>
      <w:proofErr w:type="spellStart"/>
      <w:r w:rsidRPr="00CC1C93">
        <w:rPr>
          <w:color w:val="auto"/>
        </w:rPr>
        <w:t>мастэктомии</w:t>
      </w:r>
      <w:proofErr w:type="spellEnd"/>
      <w:r w:rsidRPr="00CC1C93">
        <w:rPr>
          <w:color w:val="auto"/>
        </w:rPr>
        <w:t xml:space="preserve"> не травмируют кожные покровы в области </w:t>
      </w:r>
      <w:proofErr w:type="spellStart"/>
      <w:r w:rsidRPr="00CC1C93">
        <w:rPr>
          <w:color w:val="auto"/>
        </w:rPr>
        <w:t>постмастэктомического</w:t>
      </w:r>
      <w:proofErr w:type="spellEnd"/>
      <w:r w:rsidRPr="00CC1C93">
        <w:rPr>
          <w:color w:val="auto"/>
        </w:rPr>
        <w:t xml:space="preserve"> дефекта»</w:t>
      </w:r>
      <w:proofErr w:type="gramEnd"/>
    </w:p>
    <w:p w:rsidR="00963044" w:rsidRPr="00CC1C93" w:rsidRDefault="00963044" w:rsidP="00963044">
      <w:pPr>
        <w:ind w:firstLine="720"/>
        <w:jc w:val="both"/>
        <w:rPr>
          <w:color w:val="auto"/>
        </w:rPr>
      </w:pPr>
      <w:r w:rsidRPr="00CC1C93">
        <w:rPr>
          <w:color w:val="auto"/>
        </w:rPr>
        <w:t>«6.2.3</w:t>
      </w:r>
      <w:proofErr w:type="gramStart"/>
      <w:r w:rsidRPr="00CC1C93">
        <w:rPr>
          <w:color w:val="auto"/>
        </w:rPr>
        <w:t xml:space="preserve"> В</w:t>
      </w:r>
      <w:proofErr w:type="gramEnd"/>
      <w:r w:rsidRPr="00CC1C93">
        <w:rPr>
          <w:color w:val="auto"/>
        </w:rPr>
        <w:t xml:space="preserve"> бельевых изделиях (в нательном белье и гигиенических элементах) применяются </w:t>
      </w:r>
      <w:proofErr w:type="spellStart"/>
      <w:r w:rsidRPr="00CC1C93">
        <w:rPr>
          <w:color w:val="auto"/>
        </w:rPr>
        <w:t>гипоаллергенные</w:t>
      </w:r>
      <w:proofErr w:type="spellEnd"/>
      <w:r w:rsidRPr="00CC1C93">
        <w:rPr>
          <w:color w:val="auto"/>
        </w:rPr>
        <w:t xml:space="preserve"> материалы».</w:t>
      </w:r>
    </w:p>
    <w:p w:rsidR="00963044" w:rsidRPr="00CC1C93" w:rsidRDefault="00963044" w:rsidP="00963044">
      <w:pPr>
        <w:ind w:firstLine="720"/>
        <w:jc w:val="both"/>
        <w:rPr>
          <w:color w:val="auto"/>
        </w:rPr>
      </w:pPr>
      <w:r w:rsidRPr="00CC1C93">
        <w:rPr>
          <w:color w:val="auto"/>
        </w:rPr>
        <w:t xml:space="preserve">Выполнение работ направлено на изготовление технических устройств, к которым относятся комплекты для протезирования женщин после </w:t>
      </w:r>
      <w:proofErr w:type="spellStart"/>
      <w:r w:rsidRPr="00CC1C93">
        <w:rPr>
          <w:color w:val="auto"/>
        </w:rPr>
        <w:t>мастэктомии</w:t>
      </w:r>
      <w:proofErr w:type="spellEnd"/>
      <w:r w:rsidRPr="00CC1C93">
        <w:rPr>
          <w:color w:val="auto"/>
        </w:rPr>
        <w:t xml:space="preserve">, для обеспечения механической фиксации, разгрузки, компенсации поврежденных или реконструированных </w:t>
      </w:r>
      <w:proofErr w:type="spellStart"/>
      <w:r w:rsidRPr="00CC1C93">
        <w:rPr>
          <w:color w:val="auto"/>
        </w:rPr>
        <w:t>сумочно</w:t>
      </w:r>
      <w:proofErr w:type="spellEnd"/>
      <w:r w:rsidRPr="00CC1C93">
        <w:rPr>
          <w:color w:val="auto"/>
        </w:rPr>
        <w:t xml:space="preserve">-связочного или мышечно-связочного аппарата и других функций организма. </w:t>
      </w:r>
    </w:p>
    <w:p w:rsidR="00963044" w:rsidRPr="00CC1C93" w:rsidRDefault="00963044" w:rsidP="00963044">
      <w:pPr>
        <w:ind w:firstLine="720"/>
        <w:jc w:val="both"/>
        <w:rPr>
          <w:rFonts w:eastAsia="Calibri"/>
          <w:color w:val="auto"/>
        </w:rPr>
      </w:pPr>
      <w:r w:rsidRPr="00CC1C93">
        <w:rPr>
          <w:rFonts w:eastAsia="Calibri"/>
          <w:color w:val="auto"/>
        </w:rPr>
        <w:t xml:space="preserve">Технические средства реабилитации представлены в национальном стандарте Российской Федерации ГОСТ </w:t>
      </w:r>
      <w:proofErr w:type="gramStart"/>
      <w:r w:rsidRPr="00CC1C93">
        <w:rPr>
          <w:rFonts w:eastAsia="Calibri"/>
          <w:color w:val="auto"/>
        </w:rPr>
        <w:t>Р</w:t>
      </w:r>
      <w:proofErr w:type="gramEnd"/>
      <w:r w:rsidRPr="00CC1C93">
        <w:rPr>
          <w:rFonts w:eastAsia="Calibri"/>
          <w:color w:val="auto"/>
        </w:rPr>
        <w:t xml:space="preserve"> ИСО 9999-20</w:t>
      </w:r>
      <w:r w:rsidR="0045007D">
        <w:rPr>
          <w:rFonts w:eastAsia="Calibri"/>
          <w:color w:val="auto"/>
        </w:rPr>
        <w:t>19</w:t>
      </w:r>
      <w:r w:rsidRPr="00CC1C93">
        <w:rPr>
          <w:rFonts w:eastAsia="Calibri"/>
          <w:color w:val="auto"/>
        </w:rPr>
        <w:t xml:space="preserve"> "Вспомогательные средства для людей с ограничениями жизнедеятельности. Классификация и терминология" (ИСО 9999:20</w:t>
      </w:r>
      <w:r w:rsidR="0045007D">
        <w:rPr>
          <w:rFonts w:eastAsia="Calibri"/>
          <w:color w:val="auto"/>
        </w:rPr>
        <w:t>19</w:t>
      </w:r>
      <w:bookmarkStart w:id="0" w:name="_GoBack"/>
      <w:bookmarkEnd w:id="0"/>
      <w:r w:rsidRPr="00CC1C93">
        <w:rPr>
          <w:rFonts w:eastAsia="Calibri"/>
          <w:color w:val="auto"/>
        </w:rPr>
        <w:t>).</w:t>
      </w:r>
    </w:p>
    <w:p w:rsidR="00963044" w:rsidRPr="00CC1C93" w:rsidRDefault="00963044" w:rsidP="00963044">
      <w:pPr>
        <w:ind w:firstLine="567"/>
        <w:jc w:val="both"/>
        <w:rPr>
          <w:rFonts w:eastAsia="Calibri"/>
          <w:color w:val="auto"/>
          <w:sz w:val="23"/>
          <w:szCs w:val="23"/>
          <w:lang w:eastAsia="ar-SA"/>
        </w:rPr>
      </w:pPr>
      <w:r w:rsidRPr="00CC1C93">
        <w:rPr>
          <w:b/>
          <w:color w:val="auto"/>
          <w:sz w:val="23"/>
          <w:szCs w:val="23"/>
        </w:rPr>
        <w:t>Место доставки товаров, выполнения работ, оказания услуг</w:t>
      </w:r>
      <w:r w:rsidRPr="00CC1C93">
        <w:rPr>
          <w:b/>
          <w:bCs/>
          <w:color w:val="auto"/>
          <w:sz w:val="23"/>
          <w:szCs w:val="23"/>
        </w:rPr>
        <w:t>:</w:t>
      </w:r>
      <w:r w:rsidRPr="00CC1C93">
        <w:rPr>
          <w:bCs/>
          <w:color w:val="auto"/>
          <w:sz w:val="23"/>
          <w:szCs w:val="23"/>
        </w:rPr>
        <w:t xml:space="preserve"> </w:t>
      </w:r>
      <w:r w:rsidRPr="00CC1C93">
        <w:rPr>
          <w:rFonts w:eastAsia="Calibri"/>
          <w:color w:val="auto"/>
          <w:sz w:val="23"/>
          <w:szCs w:val="23"/>
        </w:rPr>
        <w:t xml:space="preserve">Поставка </w:t>
      </w:r>
      <w:r w:rsidRPr="00CC1C93">
        <w:rPr>
          <w:rFonts w:eastAsia="Calibri"/>
          <w:bCs/>
          <w:color w:val="auto"/>
          <w:sz w:val="23"/>
          <w:szCs w:val="23"/>
        </w:rPr>
        <w:t>протезно-ортопедических изделий:</w:t>
      </w:r>
      <w:r w:rsidRPr="00CC1C93">
        <w:rPr>
          <w:rFonts w:eastAsia="Calibri"/>
          <w:color w:val="auto"/>
          <w:sz w:val="23"/>
          <w:szCs w:val="23"/>
        </w:rPr>
        <w:t xml:space="preserve"> по адресу нахождения победителя аукциона (участника закупки), с последующей выдачей изделия по месту жительства получателя на условиях </w:t>
      </w:r>
      <w:r w:rsidRPr="00CC1C93">
        <w:rPr>
          <w:rFonts w:eastAsia="Calibri"/>
          <w:color w:val="auto"/>
          <w:sz w:val="23"/>
          <w:szCs w:val="23"/>
          <w:lang w:val="en-US"/>
        </w:rPr>
        <w:t>DDP</w:t>
      </w:r>
      <w:r w:rsidRPr="00CC1C93">
        <w:rPr>
          <w:rFonts w:eastAsia="Calibri"/>
          <w:color w:val="auto"/>
          <w:sz w:val="23"/>
          <w:szCs w:val="23"/>
        </w:rPr>
        <w:t xml:space="preserve"> или в пунктах выдачи по согласованию с получателем.</w:t>
      </w:r>
    </w:p>
    <w:p w:rsidR="00963044" w:rsidRPr="00CC1C93" w:rsidRDefault="00963044" w:rsidP="00963044">
      <w:pPr>
        <w:autoSpaceDN w:val="0"/>
        <w:ind w:firstLine="567"/>
        <w:jc w:val="both"/>
        <w:rPr>
          <w:b/>
          <w:color w:val="auto"/>
          <w:szCs w:val="22"/>
        </w:rPr>
      </w:pPr>
      <w:r w:rsidRPr="00CC1C93">
        <w:rPr>
          <w:b/>
          <w:color w:val="auto"/>
        </w:rPr>
        <w:t>Сроки выполнения работ</w:t>
      </w:r>
      <w:r w:rsidRPr="00CC1C93">
        <w:rPr>
          <w:color w:val="auto"/>
        </w:rPr>
        <w:t>: в течение 60 дней со дня обращения Получателя с Направлением Заказчика к Исполнителю.</w:t>
      </w:r>
    </w:p>
    <w:p w:rsidR="00963044" w:rsidRPr="00CC1C93" w:rsidRDefault="00963044" w:rsidP="00963044">
      <w:pPr>
        <w:keepNext/>
        <w:shd w:val="clear" w:color="auto" w:fill="FFFFFF"/>
        <w:tabs>
          <w:tab w:val="left" w:pos="0"/>
        </w:tabs>
        <w:autoSpaceDE w:val="0"/>
        <w:jc w:val="both"/>
        <w:rPr>
          <w:b/>
          <w:bCs/>
          <w:color w:val="auto"/>
          <w:szCs w:val="22"/>
        </w:rPr>
      </w:pPr>
      <w:r w:rsidRPr="00CC1C93">
        <w:rPr>
          <w:b/>
          <w:color w:val="auto"/>
          <w:szCs w:val="22"/>
        </w:rPr>
        <w:t xml:space="preserve">Требования к сроку и (или) объему предоставления гарантий качества </w:t>
      </w:r>
    </w:p>
    <w:p w:rsidR="00963044" w:rsidRPr="00CC1C93" w:rsidRDefault="00963044" w:rsidP="00963044">
      <w:pPr>
        <w:keepNext/>
        <w:keepLines/>
        <w:jc w:val="both"/>
        <w:rPr>
          <w:color w:val="auto"/>
          <w:sz w:val="22"/>
          <w:szCs w:val="22"/>
        </w:rPr>
      </w:pPr>
      <w:r w:rsidRPr="00CC1C93">
        <w:rPr>
          <w:color w:val="auto"/>
          <w:szCs w:val="22"/>
        </w:rPr>
        <w:t>Гарантийный срок устанавливается</w:t>
      </w:r>
      <w:r w:rsidRPr="00CC1C93">
        <w:rPr>
          <w:color w:val="auto"/>
          <w:sz w:val="22"/>
          <w:szCs w:val="22"/>
        </w:rPr>
        <w:t xml:space="preserve"> со дня выдачи готовых протезов Получателю – 6 месяцев.</w:t>
      </w:r>
    </w:p>
    <w:p w:rsidR="00963044" w:rsidRPr="00CC1C93" w:rsidRDefault="00963044" w:rsidP="00963044">
      <w:pPr>
        <w:rPr>
          <w:color w:val="auto"/>
          <w:szCs w:val="24"/>
        </w:rPr>
      </w:pPr>
    </w:p>
    <w:p w:rsidR="00963044" w:rsidRPr="00CC1C93" w:rsidRDefault="00963044" w:rsidP="00963044">
      <w:pPr>
        <w:tabs>
          <w:tab w:val="left" w:pos="142"/>
        </w:tabs>
        <w:ind w:right="15"/>
        <w:jc w:val="both"/>
        <w:rPr>
          <w:color w:val="auto"/>
          <w:szCs w:val="24"/>
        </w:rPr>
      </w:pPr>
    </w:p>
    <w:p w:rsidR="00963044" w:rsidRPr="0045007D" w:rsidRDefault="00963044" w:rsidP="00963044">
      <w:pPr>
        <w:rPr>
          <w:color w:val="auto"/>
          <w:szCs w:val="24"/>
        </w:rPr>
      </w:pPr>
    </w:p>
    <w:p w:rsidR="00963044" w:rsidRPr="0045007D" w:rsidRDefault="00963044" w:rsidP="00963044">
      <w:pPr>
        <w:rPr>
          <w:color w:val="auto"/>
          <w:szCs w:val="24"/>
        </w:rPr>
      </w:pPr>
    </w:p>
    <w:p w:rsidR="00B76C5D" w:rsidRDefault="0045007D"/>
    <w:sectPr w:rsidR="00B76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4"/>
    <w:rsid w:val="003415F4"/>
    <w:rsid w:val="0045007D"/>
    <w:rsid w:val="00963044"/>
    <w:rsid w:val="00A47622"/>
    <w:rsid w:val="00B7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44"/>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44"/>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DEB3-3D15-417B-9CBF-DC8186D3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Пшукова Зарема Азматгериевна</dc:creator>
  <cp:lastModifiedBy>Пшукова Зарема Азматгериевна</cp:lastModifiedBy>
  <cp:revision>3</cp:revision>
  <dcterms:created xsi:type="dcterms:W3CDTF">2023-12-04T11:30:00Z</dcterms:created>
  <dcterms:modified xsi:type="dcterms:W3CDTF">2023-12-04T14:42:00Z</dcterms:modified>
</cp:coreProperties>
</file>