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8BA4" w14:textId="20FF57D5" w:rsidR="00D1519D" w:rsidRPr="004542A4" w:rsidRDefault="00C131AD" w:rsidP="00EF19BB">
      <w:pPr>
        <w:widowControl w:val="0"/>
        <w:ind w:left="10206"/>
        <w:jc w:val="right"/>
        <w:rPr>
          <w:szCs w:val="24"/>
        </w:rPr>
      </w:pPr>
      <w:r w:rsidRPr="004542A4">
        <w:rPr>
          <w:szCs w:val="24"/>
        </w:rPr>
        <w:t>Приложение № 1</w:t>
      </w:r>
    </w:p>
    <w:p w14:paraId="06000000" w14:textId="1ADF3612" w:rsidR="0052416F" w:rsidRPr="004542A4" w:rsidRDefault="00C131AD" w:rsidP="00EF19BB">
      <w:pPr>
        <w:widowControl w:val="0"/>
        <w:ind w:left="10206"/>
        <w:jc w:val="right"/>
        <w:rPr>
          <w:b/>
          <w:szCs w:val="24"/>
        </w:rPr>
      </w:pPr>
      <w:r w:rsidRPr="004542A4">
        <w:rPr>
          <w:szCs w:val="24"/>
        </w:rPr>
        <w:t>к извещени</w:t>
      </w:r>
      <w:r w:rsidR="008831B7" w:rsidRPr="004542A4">
        <w:rPr>
          <w:szCs w:val="24"/>
        </w:rPr>
        <w:t>ю</w:t>
      </w:r>
    </w:p>
    <w:p w14:paraId="07000000" w14:textId="14F39862" w:rsidR="0052416F" w:rsidRDefault="005F7457" w:rsidP="00F935B8">
      <w:pPr>
        <w:widowControl w:val="0"/>
        <w:jc w:val="center"/>
        <w:rPr>
          <w:b/>
          <w:szCs w:val="24"/>
        </w:rPr>
      </w:pPr>
      <w:r w:rsidRPr="00F935B8">
        <w:rPr>
          <w:b/>
          <w:szCs w:val="24"/>
        </w:rPr>
        <w:t>Техническое задание</w:t>
      </w:r>
      <w:r w:rsidR="00BF7B4A" w:rsidRPr="00F935B8">
        <w:rPr>
          <w:b/>
          <w:szCs w:val="24"/>
        </w:rPr>
        <w:t xml:space="preserve"> (описание объекта закупки и условия исполнения государственного контракта)</w:t>
      </w:r>
    </w:p>
    <w:p w14:paraId="11FDE8DD" w14:textId="77777777" w:rsidR="002D4E8C" w:rsidRDefault="002D4E8C" w:rsidP="00F935B8">
      <w:pPr>
        <w:widowControl w:val="0"/>
        <w:jc w:val="center"/>
        <w:rPr>
          <w:b/>
          <w:szCs w:val="24"/>
        </w:rPr>
      </w:pPr>
    </w:p>
    <w:p w14:paraId="5B4954A5" w14:textId="77777777" w:rsidR="002D4E8C" w:rsidRPr="00BB1C9B" w:rsidRDefault="002D4E8C" w:rsidP="002D4E8C">
      <w:pPr>
        <w:keepLines/>
        <w:widowControl w:val="0"/>
        <w:suppressAutoHyphens/>
        <w:jc w:val="center"/>
        <w:rPr>
          <w:b/>
          <w:szCs w:val="24"/>
        </w:rPr>
      </w:pPr>
      <w:r w:rsidRPr="00BB1C9B">
        <w:rPr>
          <w:b/>
          <w:szCs w:val="24"/>
        </w:rPr>
        <w:t>Поставка телевизоров с телетекстом для приема программ со скрытыми субтитрами с диагональю не менее 80 см</w:t>
      </w:r>
    </w:p>
    <w:p w14:paraId="27413335" w14:textId="77777777" w:rsidR="002D4E8C" w:rsidRPr="00BB1C9B" w:rsidRDefault="002D4E8C" w:rsidP="002D4E8C">
      <w:pPr>
        <w:keepLines/>
        <w:widowControl w:val="0"/>
        <w:suppressAutoHyphens/>
        <w:rPr>
          <w:b/>
          <w:szCs w:val="24"/>
        </w:rPr>
      </w:pPr>
    </w:p>
    <w:tbl>
      <w:tblPr>
        <w:tblStyle w:val="47"/>
        <w:tblpPr w:leftFromText="180" w:rightFromText="180" w:vertAnchor="text" w:tblpY="1"/>
        <w:tblOverlap w:val="never"/>
        <w:tblW w:w="5118" w:type="pct"/>
        <w:tblLook w:val="04A0" w:firstRow="1" w:lastRow="0" w:firstColumn="1" w:lastColumn="0" w:noHBand="0" w:noVBand="1"/>
      </w:tblPr>
      <w:tblGrid>
        <w:gridCol w:w="542"/>
        <w:gridCol w:w="1837"/>
        <w:gridCol w:w="3212"/>
        <w:gridCol w:w="5010"/>
        <w:gridCol w:w="851"/>
        <w:gridCol w:w="817"/>
        <w:gridCol w:w="1056"/>
        <w:gridCol w:w="1810"/>
      </w:tblGrid>
      <w:tr w:rsidR="002D4E8C" w:rsidRPr="00BB1C9B" w14:paraId="1522713A" w14:textId="77777777" w:rsidTr="007D6B5C">
        <w:tc>
          <w:tcPr>
            <w:tcW w:w="179" w:type="pct"/>
            <w:tcBorders>
              <w:top w:val="single" w:sz="4" w:space="0" w:color="auto"/>
              <w:left w:val="single" w:sz="4" w:space="0" w:color="auto"/>
              <w:bottom w:val="single" w:sz="4" w:space="0" w:color="auto"/>
              <w:right w:val="single" w:sz="4" w:space="0" w:color="auto"/>
            </w:tcBorders>
            <w:hideMark/>
          </w:tcPr>
          <w:p w14:paraId="0B563600" w14:textId="77777777" w:rsidR="002D4E8C" w:rsidRPr="00BB1C9B" w:rsidRDefault="002D4E8C" w:rsidP="007D6B5C">
            <w:pPr>
              <w:keepLines/>
              <w:widowControl w:val="0"/>
              <w:suppressAutoHyphens/>
              <w:jc w:val="both"/>
              <w:rPr>
                <w:rFonts w:eastAsia="Times New Roman"/>
                <w:sz w:val="24"/>
                <w:szCs w:val="24"/>
                <w:lang w:eastAsia="ar-SA"/>
              </w:rPr>
            </w:pPr>
            <w:r w:rsidRPr="00BB1C9B">
              <w:rPr>
                <w:sz w:val="24"/>
                <w:szCs w:val="24"/>
                <w:lang w:eastAsia="ar-SA"/>
              </w:rPr>
              <w:t>№ п/п</w:t>
            </w:r>
          </w:p>
        </w:tc>
        <w:tc>
          <w:tcPr>
            <w:tcW w:w="607" w:type="pct"/>
            <w:tcBorders>
              <w:top w:val="single" w:sz="4" w:space="0" w:color="auto"/>
              <w:left w:val="single" w:sz="4" w:space="0" w:color="auto"/>
              <w:bottom w:val="single" w:sz="4" w:space="0" w:color="auto"/>
              <w:right w:val="single" w:sz="4" w:space="0" w:color="auto"/>
            </w:tcBorders>
            <w:hideMark/>
          </w:tcPr>
          <w:p w14:paraId="056244E4"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t>Наименование товара, работ, услуг</w:t>
            </w:r>
          </w:p>
        </w:tc>
        <w:tc>
          <w:tcPr>
            <w:tcW w:w="1061" w:type="pct"/>
            <w:tcBorders>
              <w:top w:val="single" w:sz="4" w:space="0" w:color="auto"/>
              <w:left w:val="single" w:sz="4" w:space="0" w:color="auto"/>
              <w:bottom w:val="single" w:sz="4" w:space="0" w:color="auto"/>
              <w:right w:val="single" w:sz="4" w:space="0" w:color="auto"/>
            </w:tcBorders>
          </w:tcPr>
          <w:p w14:paraId="25F99CB9" w14:textId="77777777" w:rsidR="002D4E8C" w:rsidRPr="00BB1C9B" w:rsidRDefault="002D4E8C" w:rsidP="007D6B5C">
            <w:pPr>
              <w:keepLines/>
              <w:widowControl w:val="0"/>
              <w:suppressAutoHyphens/>
              <w:jc w:val="center"/>
              <w:rPr>
                <w:sz w:val="24"/>
                <w:szCs w:val="24"/>
                <w:lang w:eastAsia="ar-SA"/>
              </w:rPr>
            </w:pPr>
            <w:r w:rsidRPr="00BB1C9B">
              <w:rPr>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w:t>
            </w:r>
            <w:r w:rsidRPr="00BB1C9B">
              <w:rPr>
                <w:sz w:val="24"/>
                <w:szCs w:val="24"/>
                <w:lang w:eastAsia="ar-SA"/>
              </w:rPr>
              <w:lastRenderedPageBreak/>
              <w:t xml:space="preserve">Правительства Российской Федерации от 30 декабря 2005 г. N 2347-р» и индивидуальной программой реабилитации и </w:t>
            </w:r>
            <w:proofErr w:type="spellStart"/>
            <w:r w:rsidRPr="00BB1C9B">
              <w:rPr>
                <w:sz w:val="24"/>
                <w:szCs w:val="24"/>
                <w:lang w:eastAsia="ar-SA"/>
              </w:rPr>
              <w:t>абилитации</w:t>
            </w:r>
            <w:proofErr w:type="spellEnd"/>
            <w:r w:rsidRPr="00BB1C9B">
              <w:rPr>
                <w:sz w:val="24"/>
                <w:szCs w:val="24"/>
                <w:lang w:eastAsia="ar-SA"/>
              </w:rPr>
              <w:t xml:space="preserve"> инвалида</w:t>
            </w:r>
          </w:p>
        </w:tc>
        <w:tc>
          <w:tcPr>
            <w:tcW w:w="1655" w:type="pct"/>
            <w:tcBorders>
              <w:top w:val="single" w:sz="4" w:space="0" w:color="auto"/>
              <w:left w:val="single" w:sz="4" w:space="0" w:color="auto"/>
              <w:bottom w:val="single" w:sz="4" w:space="0" w:color="auto"/>
              <w:right w:val="single" w:sz="4" w:space="0" w:color="auto"/>
            </w:tcBorders>
            <w:hideMark/>
          </w:tcPr>
          <w:p w14:paraId="73FE1A07"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lastRenderedPageBreak/>
              <w:t>Описание объекта закупки</w:t>
            </w:r>
          </w:p>
        </w:tc>
        <w:tc>
          <w:tcPr>
            <w:tcW w:w="281" w:type="pct"/>
            <w:tcBorders>
              <w:top w:val="single" w:sz="4" w:space="0" w:color="auto"/>
              <w:left w:val="single" w:sz="4" w:space="0" w:color="auto"/>
              <w:bottom w:val="single" w:sz="4" w:space="0" w:color="auto"/>
              <w:right w:val="single" w:sz="4" w:space="0" w:color="auto"/>
            </w:tcBorders>
            <w:hideMark/>
          </w:tcPr>
          <w:p w14:paraId="763980EA"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t>Кол-во</w:t>
            </w:r>
          </w:p>
        </w:tc>
        <w:tc>
          <w:tcPr>
            <w:tcW w:w="270" w:type="pct"/>
            <w:tcBorders>
              <w:top w:val="single" w:sz="4" w:space="0" w:color="auto"/>
              <w:left w:val="single" w:sz="4" w:space="0" w:color="auto"/>
              <w:bottom w:val="single" w:sz="4" w:space="0" w:color="auto"/>
              <w:right w:val="single" w:sz="4" w:space="0" w:color="auto"/>
            </w:tcBorders>
            <w:hideMark/>
          </w:tcPr>
          <w:p w14:paraId="17139350"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t>Ед. изм.</w:t>
            </w:r>
          </w:p>
        </w:tc>
        <w:tc>
          <w:tcPr>
            <w:tcW w:w="349" w:type="pct"/>
            <w:tcBorders>
              <w:top w:val="single" w:sz="4" w:space="0" w:color="auto"/>
              <w:left w:val="single" w:sz="4" w:space="0" w:color="auto"/>
              <w:bottom w:val="single" w:sz="4" w:space="0" w:color="auto"/>
              <w:right w:val="single" w:sz="4" w:space="0" w:color="auto"/>
            </w:tcBorders>
            <w:hideMark/>
          </w:tcPr>
          <w:p w14:paraId="650712BE"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t>Цена за ед. изм.</w:t>
            </w:r>
            <w:r w:rsidRPr="00BB1C9B">
              <w:rPr>
                <w:sz w:val="24"/>
                <w:szCs w:val="24"/>
                <w:vertAlign w:val="superscript"/>
                <w:lang w:eastAsia="ar-SA"/>
              </w:rPr>
              <w:footnoteReference w:id="1"/>
            </w:r>
            <w:r w:rsidRPr="00BB1C9B">
              <w:rPr>
                <w:sz w:val="24"/>
                <w:szCs w:val="24"/>
                <w:lang w:eastAsia="ar-SA"/>
              </w:rPr>
              <w:t>, руб.</w:t>
            </w:r>
          </w:p>
        </w:tc>
        <w:tc>
          <w:tcPr>
            <w:tcW w:w="599" w:type="pct"/>
            <w:tcBorders>
              <w:top w:val="single" w:sz="4" w:space="0" w:color="auto"/>
              <w:left w:val="single" w:sz="4" w:space="0" w:color="auto"/>
              <w:bottom w:val="single" w:sz="4" w:space="0" w:color="auto"/>
              <w:right w:val="single" w:sz="4" w:space="0" w:color="auto"/>
            </w:tcBorders>
            <w:hideMark/>
          </w:tcPr>
          <w:p w14:paraId="5B66E315"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t>Цена по позиции</w:t>
            </w:r>
            <w:r w:rsidRPr="00BB1C9B">
              <w:rPr>
                <w:sz w:val="24"/>
                <w:szCs w:val="24"/>
                <w:vertAlign w:val="superscript"/>
                <w:lang w:eastAsia="ar-SA"/>
              </w:rPr>
              <w:footnoteReference w:id="2"/>
            </w:r>
            <w:r w:rsidRPr="00BB1C9B">
              <w:rPr>
                <w:sz w:val="24"/>
                <w:szCs w:val="24"/>
                <w:lang w:eastAsia="ar-SA"/>
              </w:rPr>
              <w:t>, руб.</w:t>
            </w:r>
          </w:p>
        </w:tc>
      </w:tr>
      <w:tr w:rsidR="002D4E8C" w:rsidRPr="00BB1C9B" w14:paraId="3ED72D39" w14:textId="77777777" w:rsidTr="007D6B5C">
        <w:trPr>
          <w:trHeight w:val="699"/>
        </w:trPr>
        <w:tc>
          <w:tcPr>
            <w:tcW w:w="179" w:type="pct"/>
            <w:tcBorders>
              <w:top w:val="single" w:sz="4" w:space="0" w:color="auto"/>
              <w:left w:val="single" w:sz="4" w:space="0" w:color="auto"/>
              <w:bottom w:val="single" w:sz="4" w:space="0" w:color="auto"/>
              <w:right w:val="single" w:sz="4" w:space="0" w:color="auto"/>
            </w:tcBorders>
            <w:hideMark/>
          </w:tcPr>
          <w:p w14:paraId="655E7451"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lang w:eastAsia="ar-SA"/>
              </w:rPr>
              <w:lastRenderedPageBreak/>
              <w:t>1.</w:t>
            </w:r>
          </w:p>
        </w:tc>
        <w:tc>
          <w:tcPr>
            <w:tcW w:w="607" w:type="pct"/>
          </w:tcPr>
          <w:p w14:paraId="73A134BE" w14:textId="77777777" w:rsidR="002D4E8C" w:rsidRPr="00BB1C9B" w:rsidRDefault="002D4E8C" w:rsidP="007D6B5C">
            <w:pPr>
              <w:keepLines/>
              <w:widowControl w:val="0"/>
              <w:suppressAutoHyphens/>
              <w:rPr>
                <w:rFonts w:eastAsia="Times New Roman"/>
                <w:color w:val="000000" w:themeColor="text1"/>
                <w:sz w:val="24"/>
                <w:szCs w:val="24"/>
                <w:lang w:eastAsia="ar-SA"/>
              </w:rPr>
            </w:pPr>
            <w:r w:rsidRPr="00BB1C9B">
              <w:rPr>
                <w:bCs/>
                <w:sz w:val="24"/>
                <w:szCs w:val="24"/>
              </w:rPr>
              <w:t>Телевизор с телетекстом для приема программ со скрытыми субтитрами с диагональю не менее 80 см</w:t>
            </w:r>
          </w:p>
        </w:tc>
        <w:tc>
          <w:tcPr>
            <w:tcW w:w="1061" w:type="pct"/>
          </w:tcPr>
          <w:p w14:paraId="0A715DC1" w14:textId="77777777" w:rsidR="002D4E8C" w:rsidRPr="00BB1C9B" w:rsidRDefault="002D4E8C" w:rsidP="007D6B5C">
            <w:pPr>
              <w:keepLines/>
              <w:widowControl w:val="0"/>
              <w:suppressAutoHyphens/>
              <w:autoSpaceDE w:val="0"/>
              <w:autoSpaceDN w:val="0"/>
              <w:adjustRightInd w:val="0"/>
              <w:rPr>
                <w:color w:val="000000" w:themeColor="text1"/>
                <w:sz w:val="24"/>
                <w:szCs w:val="24"/>
              </w:rPr>
            </w:pPr>
            <w:r w:rsidRPr="00BB1C9B">
              <w:rPr>
                <w:bCs/>
                <w:sz w:val="24"/>
                <w:szCs w:val="24"/>
              </w:rPr>
              <w:t>Телевизор с телетекстом для приема программ со скрытыми субтитрами с диагональю не менее 80 см</w:t>
            </w:r>
          </w:p>
        </w:tc>
        <w:tc>
          <w:tcPr>
            <w:tcW w:w="1655" w:type="pct"/>
          </w:tcPr>
          <w:tbl>
            <w:tblPr>
              <w:tblStyle w:val="affff2"/>
              <w:tblW w:w="0" w:type="auto"/>
              <w:tblLook w:val="04A0" w:firstRow="1" w:lastRow="0" w:firstColumn="1" w:lastColumn="0" w:noHBand="0" w:noVBand="1"/>
            </w:tblPr>
            <w:tblGrid>
              <w:gridCol w:w="2684"/>
              <w:gridCol w:w="2100"/>
            </w:tblGrid>
            <w:tr w:rsidR="002D4E8C" w:rsidRPr="00BB1C9B" w14:paraId="1DAA62F0" w14:textId="77777777" w:rsidTr="007D6B5C">
              <w:tc>
                <w:tcPr>
                  <w:tcW w:w="2721" w:type="dxa"/>
                </w:tcPr>
                <w:p w14:paraId="3A266AFD" w14:textId="77777777" w:rsidR="002D4E8C" w:rsidRPr="00BB1C9B" w:rsidRDefault="002D4E8C" w:rsidP="00C86A75">
                  <w:pPr>
                    <w:framePr w:hSpace="180" w:wrap="around" w:vAnchor="text" w:hAnchor="text" w:y="1"/>
                    <w:suppressOverlap/>
                    <w:rPr>
                      <w:b/>
                      <w:szCs w:val="24"/>
                    </w:rPr>
                  </w:pPr>
                  <w:r w:rsidRPr="00BB1C9B">
                    <w:rPr>
                      <w:b/>
                      <w:szCs w:val="24"/>
                    </w:rPr>
                    <w:t>Наименование характеристики</w:t>
                  </w:r>
                </w:p>
              </w:tc>
              <w:tc>
                <w:tcPr>
                  <w:tcW w:w="2722" w:type="dxa"/>
                </w:tcPr>
                <w:p w14:paraId="6EE33663" w14:textId="77777777" w:rsidR="002D4E8C" w:rsidRPr="00BB1C9B" w:rsidRDefault="002D4E8C" w:rsidP="00C86A75">
                  <w:pPr>
                    <w:framePr w:hSpace="180" w:wrap="around" w:vAnchor="text" w:hAnchor="text" w:y="1"/>
                    <w:suppressOverlap/>
                    <w:rPr>
                      <w:b/>
                      <w:szCs w:val="24"/>
                    </w:rPr>
                  </w:pPr>
                  <w:r w:rsidRPr="00BB1C9B">
                    <w:rPr>
                      <w:b/>
                      <w:szCs w:val="24"/>
                    </w:rPr>
                    <w:t>Значение характеристики</w:t>
                  </w:r>
                </w:p>
              </w:tc>
            </w:tr>
            <w:tr w:rsidR="002D4E8C" w:rsidRPr="00BB1C9B" w14:paraId="506A73B2" w14:textId="77777777" w:rsidTr="007D6B5C">
              <w:tc>
                <w:tcPr>
                  <w:tcW w:w="2721" w:type="dxa"/>
                </w:tcPr>
                <w:p w14:paraId="2CA2451D" w14:textId="65E5C021" w:rsidR="002D4E8C" w:rsidRPr="00BB1C9B" w:rsidRDefault="002D4E8C" w:rsidP="00C86A75">
                  <w:pPr>
                    <w:framePr w:hSpace="180" w:wrap="around" w:vAnchor="text" w:hAnchor="text" w:y="1"/>
                    <w:suppressOverlap/>
                    <w:jc w:val="both"/>
                    <w:rPr>
                      <w:bCs/>
                      <w:szCs w:val="24"/>
                    </w:rPr>
                  </w:pPr>
                  <w:r w:rsidRPr="00BB1C9B">
                    <w:rPr>
                      <w:szCs w:val="24"/>
                    </w:rPr>
                    <w:t xml:space="preserve">Телевизор с телетекстом для приема программ со скрытыми субтитрами с диагональю не менее 80 см предназначен для приема телесигнала, несущего информацию о телевизионном изображении и </w:t>
                  </w:r>
                  <w:r w:rsidR="00B0075D">
                    <w:rPr>
                      <w:szCs w:val="24"/>
                    </w:rPr>
                    <w:t>связанную с ним информацию</w:t>
                  </w:r>
                </w:p>
              </w:tc>
              <w:tc>
                <w:tcPr>
                  <w:tcW w:w="2722" w:type="dxa"/>
                </w:tcPr>
                <w:p w14:paraId="68423EA7"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61F3EFD3" w14:textId="77777777" w:rsidTr="007D6B5C">
              <w:tc>
                <w:tcPr>
                  <w:tcW w:w="2721" w:type="dxa"/>
                </w:tcPr>
                <w:p w14:paraId="1EE54424" w14:textId="77777777" w:rsidR="002D4E8C" w:rsidRPr="00BB1C9B" w:rsidRDefault="002D4E8C" w:rsidP="00C86A75">
                  <w:pPr>
                    <w:framePr w:hSpace="180" w:wrap="around" w:vAnchor="text" w:hAnchor="text" w:y="1"/>
                    <w:suppressOverlap/>
                    <w:jc w:val="both"/>
                    <w:rPr>
                      <w:bCs/>
                      <w:szCs w:val="24"/>
                    </w:rPr>
                  </w:pPr>
                  <w:r w:rsidRPr="00BB1C9B">
                    <w:rPr>
                      <w:szCs w:val="24"/>
                    </w:rPr>
                    <w:t>Диагональ телевизора с телетекстом</w:t>
                  </w:r>
                </w:p>
              </w:tc>
              <w:tc>
                <w:tcPr>
                  <w:tcW w:w="2722" w:type="dxa"/>
                </w:tcPr>
                <w:p w14:paraId="5C73CFB3" w14:textId="77777777" w:rsidR="002D4E8C" w:rsidRPr="00BB1C9B" w:rsidRDefault="002D4E8C" w:rsidP="00C86A75">
                  <w:pPr>
                    <w:framePr w:hSpace="180" w:wrap="around" w:vAnchor="text" w:hAnchor="text" w:y="1"/>
                    <w:suppressOverlap/>
                    <w:jc w:val="both"/>
                    <w:rPr>
                      <w:bCs/>
                      <w:szCs w:val="24"/>
                    </w:rPr>
                  </w:pPr>
                  <w:r w:rsidRPr="00BB1C9B">
                    <w:rPr>
                      <w:szCs w:val="24"/>
                    </w:rPr>
                    <w:t>не менее 80 см (не менее 31,5 дюйм)</w:t>
                  </w:r>
                </w:p>
              </w:tc>
            </w:tr>
            <w:tr w:rsidR="002D4E8C" w:rsidRPr="00BB1C9B" w14:paraId="714EC61F" w14:textId="77777777" w:rsidTr="007D6B5C">
              <w:tc>
                <w:tcPr>
                  <w:tcW w:w="2721" w:type="dxa"/>
                </w:tcPr>
                <w:p w14:paraId="66445DC6" w14:textId="77777777" w:rsidR="002D4E8C" w:rsidRPr="00BB1C9B" w:rsidRDefault="002D4E8C" w:rsidP="00C86A75">
                  <w:pPr>
                    <w:framePr w:hSpace="180" w:wrap="around" w:vAnchor="text" w:hAnchor="text" w:y="1"/>
                    <w:suppressOverlap/>
                    <w:jc w:val="both"/>
                    <w:rPr>
                      <w:bCs/>
                      <w:szCs w:val="24"/>
                    </w:rPr>
                  </w:pPr>
                  <w:r w:rsidRPr="00BB1C9B">
                    <w:rPr>
                      <w:szCs w:val="24"/>
                    </w:rPr>
                    <w:t>Жидкокристаллический дисплей</w:t>
                  </w:r>
                </w:p>
              </w:tc>
              <w:tc>
                <w:tcPr>
                  <w:tcW w:w="2722" w:type="dxa"/>
                </w:tcPr>
                <w:p w14:paraId="67CE52E3"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012225E7" w14:textId="77777777" w:rsidTr="007D6B5C">
              <w:tc>
                <w:tcPr>
                  <w:tcW w:w="2721" w:type="dxa"/>
                </w:tcPr>
                <w:p w14:paraId="76139688" w14:textId="77777777" w:rsidR="002D4E8C" w:rsidRPr="00BB1C9B" w:rsidRDefault="002D4E8C" w:rsidP="00C86A75">
                  <w:pPr>
                    <w:framePr w:hSpace="180" w:wrap="around" w:vAnchor="text" w:hAnchor="text" w:y="1"/>
                    <w:suppressOverlap/>
                    <w:jc w:val="both"/>
                    <w:rPr>
                      <w:bCs/>
                      <w:szCs w:val="24"/>
                    </w:rPr>
                  </w:pPr>
                  <w:r w:rsidRPr="00BB1C9B">
                    <w:rPr>
                      <w:szCs w:val="24"/>
                    </w:rPr>
                    <w:t>Формат экрана</w:t>
                  </w:r>
                </w:p>
              </w:tc>
              <w:tc>
                <w:tcPr>
                  <w:tcW w:w="2722" w:type="dxa"/>
                </w:tcPr>
                <w:p w14:paraId="6882E899" w14:textId="77777777" w:rsidR="002D4E8C" w:rsidRPr="00BB1C9B" w:rsidRDefault="002D4E8C" w:rsidP="00C86A75">
                  <w:pPr>
                    <w:framePr w:hSpace="180" w:wrap="around" w:vAnchor="text" w:hAnchor="text" w:y="1"/>
                    <w:suppressOverlap/>
                    <w:jc w:val="both"/>
                    <w:rPr>
                      <w:bCs/>
                      <w:szCs w:val="24"/>
                    </w:rPr>
                  </w:pPr>
                  <w:r w:rsidRPr="00BB1C9B">
                    <w:rPr>
                      <w:szCs w:val="24"/>
                    </w:rPr>
                    <w:t>не менее 16:9</w:t>
                  </w:r>
                </w:p>
              </w:tc>
            </w:tr>
            <w:tr w:rsidR="002D4E8C" w:rsidRPr="00BB1C9B" w14:paraId="1B55F10B" w14:textId="77777777" w:rsidTr="007D6B5C">
              <w:tc>
                <w:tcPr>
                  <w:tcW w:w="2721" w:type="dxa"/>
                </w:tcPr>
                <w:p w14:paraId="1614CD1D" w14:textId="77777777" w:rsidR="002D4E8C" w:rsidRPr="00BB1C9B" w:rsidRDefault="002D4E8C" w:rsidP="00C86A75">
                  <w:pPr>
                    <w:framePr w:hSpace="180" w:wrap="around" w:vAnchor="text" w:hAnchor="text" w:y="1"/>
                    <w:suppressOverlap/>
                    <w:jc w:val="both"/>
                    <w:rPr>
                      <w:bCs/>
                      <w:szCs w:val="24"/>
                    </w:rPr>
                  </w:pPr>
                  <w:r w:rsidRPr="00BB1C9B">
                    <w:rPr>
                      <w:szCs w:val="24"/>
                    </w:rPr>
                    <w:t>Частота развертки</w:t>
                  </w:r>
                </w:p>
              </w:tc>
              <w:tc>
                <w:tcPr>
                  <w:tcW w:w="2722" w:type="dxa"/>
                </w:tcPr>
                <w:p w14:paraId="370D7BDF" w14:textId="77777777" w:rsidR="002D4E8C" w:rsidRPr="00BB1C9B" w:rsidRDefault="002D4E8C" w:rsidP="00C86A75">
                  <w:pPr>
                    <w:framePr w:hSpace="180" w:wrap="around" w:vAnchor="text" w:hAnchor="text" w:y="1"/>
                    <w:suppressOverlap/>
                    <w:jc w:val="both"/>
                    <w:rPr>
                      <w:bCs/>
                      <w:szCs w:val="24"/>
                    </w:rPr>
                  </w:pPr>
                  <w:r w:rsidRPr="00BB1C9B">
                    <w:rPr>
                      <w:szCs w:val="24"/>
                    </w:rPr>
                    <w:t>не менее 50 Гц</w:t>
                  </w:r>
                </w:p>
              </w:tc>
            </w:tr>
            <w:tr w:rsidR="002D4E8C" w:rsidRPr="00BB1C9B" w14:paraId="473A5A4F" w14:textId="77777777" w:rsidTr="007D6B5C">
              <w:tc>
                <w:tcPr>
                  <w:tcW w:w="2721" w:type="dxa"/>
                </w:tcPr>
                <w:p w14:paraId="4B0CF8AE" w14:textId="77777777" w:rsidR="002D4E8C" w:rsidRPr="00BB1C9B" w:rsidRDefault="002D4E8C" w:rsidP="00C86A75">
                  <w:pPr>
                    <w:framePr w:hSpace="180" w:wrap="around" w:vAnchor="text" w:hAnchor="text" w:y="1"/>
                    <w:suppressOverlap/>
                    <w:jc w:val="both"/>
                    <w:rPr>
                      <w:bCs/>
                      <w:szCs w:val="24"/>
                    </w:rPr>
                  </w:pPr>
                  <w:r w:rsidRPr="00BB1C9B">
                    <w:rPr>
                      <w:szCs w:val="24"/>
                    </w:rPr>
                    <w:t>Поддержка телевизионных стандартов PAL, SECAM</w:t>
                  </w:r>
                </w:p>
              </w:tc>
              <w:tc>
                <w:tcPr>
                  <w:tcW w:w="2722" w:type="dxa"/>
                </w:tcPr>
                <w:p w14:paraId="4BAD0234"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69DDB149" w14:textId="77777777" w:rsidTr="007D6B5C">
              <w:tc>
                <w:tcPr>
                  <w:tcW w:w="2721" w:type="dxa"/>
                </w:tcPr>
                <w:p w14:paraId="24A7653D" w14:textId="77777777" w:rsidR="002D4E8C" w:rsidRPr="00BB1C9B" w:rsidRDefault="002D4E8C" w:rsidP="00C86A75">
                  <w:pPr>
                    <w:framePr w:hSpace="180" w:wrap="around" w:vAnchor="text" w:hAnchor="text" w:y="1"/>
                    <w:suppressOverlap/>
                    <w:jc w:val="both"/>
                    <w:rPr>
                      <w:szCs w:val="24"/>
                    </w:rPr>
                  </w:pPr>
                  <w:r w:rsidRPr="00BB1C9B">
                    <w:rPr>
                      <w:szCs w:val="24"/>
                    </w:rPr>
                    <w:t>Тип тюнера</w:t>
                  </w:r>
                </w:p>
              </w:tc>
              <w:tc>
                <w:tcPr>
                  <w:tcW w:w="2722" w:type="dxa"/>
                </w:tcPr>
                <w:p w14:paraId="44E39526" w14:textId="77777777" w:rsidR="002D4E8C" w:rsidRPr="00BB1C9B" w:rsidRDefault="002D4E8C" w:rsidP="00C86A75">
                  <w:pPr>
                    <w:framePr w:hSpace="180" w:wrap="around" w:vAnchor="text" w:hAnchor="text" w:y="1"/>
                    <w:suppressOverlap/>
                    <w:jc w:val="both"/>
                    <w:rPr>
                      <w:bCs/>
                      <w:szCs w:val="24"/>
                    </w:rPr>
                  </w:pPr>
                  <w:r w:rsidRPr="00BB1C9B">
                    <w:rPr>
                      <w:szCs w:val="24"/>
                    </w:rPr>
                    <w:t>цифровой DVB-T2</w:t>
                  </w:r>
                </w:p>
              </w:tc>
            </w:tr>
            <w:tr w:rsidR="002D4E8C" w:rsidRPr="00BB1C9B" w14:paraId="6ADCEF78" w14:textId="77777777" w:rsidTr="007D6B5C">
              <w:tc>
                <w:tcPr>
                  <w:tcW w:w="2721" w:type="dxa"/>
                </w:tcPr>
                <w:p w14:paraId="78E73F98" w14:textId="77777777" w:rsidR="002D4E8C" w:rsidRPr="00BB1C9B" w:rsidRDefault="002D4E8C" w:rsidP="00C86A75">
                  <w:pPr>
                    <w:framePr w:hSpace="180" w:wrap="around" w:vAnchor="text" w:hAnchor="text" w:y="1"/>
                    <w:suppressOverlap/>
                    <w:jc w:val="both"/>
                    <w:rPr>
                      <w:szCs w:val="24"/>
                    </w:rPr>
                  </w:pPr>
                  <w:r w:rsidRPr="00BB1C9B">
                    <w:rPr>
                      <w:szCs w:val="24"/>
                    </w:rPr>
                    <w:t>Количество принимаемых каналов</w:t>
                  </w:r>
                </w:p>
              </w:tc>
              <w:tc>
                <w:tcPr>
                  <w:tcW w:w="2722" w:type="dxa"/>
                </w:tcPr>
                <w:p w14:paraId="5A7F90A5" w14:textId="77777777" w:rsidR="002D4E8C" w:rsidRPr="00BB1C9B" w:rsidRDefault="002D4E8C" w:rsidP="00C86A75">
                  <w:pPr>
                    <w:framePr w:hSpace="180" w:wrap="around" w:vAnchor="text" w:hAnchor="text" w:y="1"/>
                    <w:suppressOverlap/>
                    <w:jc w:val="both"/>
                    <w:rPr>
                      <w:bCs/>
                      <w:szCs w:val="24"/>
                    </w:rPr>
                  </w:pPr>
                  <w:r w:rsidRPr="00BB1C9B">
                    <w:rPr>
                      <w:szCs w:val="24"/>
                    </w:rPr>
                    <w:t xml:space="preserve">не менее 30 (обязательный прием сигналов телетекста </w:t>
                  </w:r>
                  <w:r w:rsidRPr="00BB1C9B">
                    <w:rPr>
                      <w:szCs w:val="24"/>
                    </w:rPr>
                    <w:lastRenderedPageBreak/>
                    <w:t>Первого канал, Россия 1, Россия-Культура, НТВ, Карусель, ТВЦ)</w:t>
                  </w:r>
                </w:p>
              </w:tc>
            </w:tr>
            <w:tr w:rsidR="002D4E8C" w:rsidRPr="00BB1C9B" w14:paraId="1ED08DE2" w14:textId="77777777" w:rsidTr="007D6B5C">
              <w:tc>
                <w:tcPr>
                  <w:tcW w:w="2721" w:type="dxa"/>
                </w:tcPr>
                <w:p w14:paraId="38DBAD27" w14:textId="77777777" w:rsidR="002D4E8C" w:rsidRPr="00BB1C9B" w:rsidRDefault="002D4E8C" w:rsidP="00C86A75">
                  <w:pPr>
                    <w:framePr w:hSpace="180" w:wrap="around" w:vAnchor="text" w:hAnchor="text" w:y="1"/>
                    <w:suppressOverlap/>
                    <w:jc w:val="both"/>
                    <w:rPr>
                      <w:szCs w:val="24"/>
                    </w:rPr>
                  </w:pPr>
                  <w:r w:rsidRPr="00BB1C9B">
                    <w:rPr>
                      <w:szCs w:val="24"/>
                    </w:rPr>
                    <w:lastRenderedPageBreak/>
                    <w:t>Телетекст с памятью</w:t>
                  </w:r>
                </w:p>
              </w:tc>
              <w:tc>
                <w:tcPr>
                  <w:tcW w:w="2722" w:type="dxa"/>
                </w:tcPr>
                <w:p w14:paraId="5E8E93FF" w14:textId="77777777" w:rsidR="002D4E8C" w:rsidRPr="00BB1C9B" w:rsidRDefault="002D4E8C" w:rsidP="00C86A75">
                  <w:pPr>
                    <w:framePr w:hSpace="180" w:wrap="around" w:vAnchor="text" w:hAnchor="text" w:y="1"/>
                    <w:suppressOverlap/>
                    <w:jc w:val="both"/>
                    <w:rPr>
                      <w:bCs/>
                      <w:szCs w:val="24"/>
                    </w:rPr>
                  </w:pPr>
                  <w:r w:rsidRPr="00BB1C9B">
                    <w:rPr>
                      <w:szCs w:val="24"/>
                    </w:rPr>
                    <w:t>не менее 10 страниц</w:t>
                  </w:r>
                </w:p>
              </w:tc>
            </w:tr>
            <w:tr w:rsidR="002D4E8C" w:rsidRPr="00BB1C9B" w14:paraId="59468D9C" w14:textId="77777777" w:rsidTr="007D6B5C">
              <w:tc>
                <w:tcPr>
                  <w:tcW w:w="2721" w:type="dxa"/>
                </w:tcPr>
                <w:p w14:paraId="23CBAA5F" w14:textId="77777777" w:rsidR="00C86A75" w:rsidRPr="00C86A75" w:rsidRDefault="00C86A75" w:rsidP="00C86A75">
                  <w:pPr>
                    <w:framePr w:hSpace="180" w:wrap="around" w:vAnchor="text" w:hAnchor="text" w:y="1"/>
                    <w:suppressOverlap/>
                    <w:jc w:val="both"/>
                    <w:rPr>
                      <w:szCs w:val="24"/>
                    </w:rPr>
                  </w:pPr>
                  <w:r w:rsidRPr="00C86A75">
                    <w:rPr>
                      <w:szCs w:val="24"/>
                    </w:rPr>
                    <w:t>Обеспечение телевизорами с телетекстом</w:t>
                  </w:r>
                </w:p>
                <w:p w14:paraId="5753C205" w14:textId="77777777" w:rsidR="00C86A75" w:rsidRPr="00C86A75" w:rsidRDefault="00C86A75" w:rsidP="00C86A75">
                  <w:pPr>
                    <w:framePr w:hSpace="180" w:wrap="around" w:vAnchor="text" w:hAnchor="text" w:y="1"/>
                    <w:suppressOverlap/>
                    <w:jc w:val="both"/>
                    <w:rPr>
                      <w:szCs w:val="24"/>
                    </w:rPr>
                  </w:pPr>
                  <w:r w:rsidRPr="00C86A75">
                    <w:rPr>
                      <w:szCs w:val="24"/>
                    </w:rPr>
                    <w:t xml:space="preserve">беспрепятственного доступа инвалидов с нарушениями слуха к информации </w:t>
                  </w:r>
                  <w:proofErr w:type="gramStart"/>
                  <w:r w:rsidRPr="00C86A75">
                    <w:rPr>
                      <w:szCs w:val="24"/>
                    </w:rPr>
                    <w:t>в</w:t>
                  </w:r>
                  <w:proofErr w:type="gramEnd"/>
                </w:p>
                <w:p w14:paraId="43472CE8" w14:textId="77777777" w:rsidR="00C86A75" w:rsidRPr="00C86A75" w:rsidRDefault="00C86A75" w:rsidP="00C86A75">
                  <w:pPr>
                    <w:framePr w:hSpace="180" w:wrap="around" w:vAnchor="text" w:hAnchor="text" w:y="1"/>
                    <w:suppressOverlap/>
                    <w:jc w:val="both"/>
                    <w:rPr>
                      <w:szCs w:val="24"/>
                    </w:rPr>
                  </w:pPr>
                  <w:proofErr w:type="gramStart"/>
                  <w:r w:rsidRPr="00C86A75">
                    <w:rPr>
                      <w:szCs w:val="24"/>
                    </w:rPr>
                    <w:t>виде</w:t>
                  </w:r>
                  <w:proofErr w:type="gramEnd"/>
                  <w:r w:rsidRPr="00C86A75">
                    <w:rPr>
                      <w:szCs w:val="24"/>
                    </w:rPr>
                    <w:t xml:space="preserve"> субтитров, передаваемых на странице 888-й и 889-й системы «Телетекст»</w:t>
                  </w:r>
                </w:p>
                <w:p w14:paraId="1C929A1F" w14:textId="77777777" w:rsidR="00C86A75" w:rsidRPr="00C86A75" w:rsidRDefault="00C86A75" w:rsidP="00C86A75">
                  <w:pPr>
                    <w:framePr w:hSpace="180" w:wrap="around" w:vAnchor="text" w:hAnchor="text" w:y="1"/>
                    <w:suppressOverlap/>
                    <w:jc w:val="both"/>
                    <w:rPr>
                      <w:szCs w:val="24"/>
                    </w:rPr>
                  </w:pPr>
                  <w:r w:rsidRPr="00C86A75">
                    <w:rPr>
                      <w:szCs w:val="24"/>
                    </w:rPr>
                    <w:t xml:space="preserve">(в соответствии с пунктом 4.9.6 ГОСТ </w:t>
                  </w:r>
                  <w:proofErr w:type="gramStart"/>
                  <w:r w:rsidRPr="00C86A75">
                    <w:rPr>
                      <w:szCs w:val="24"/>
                    </w:rPr>
                    <w:t>Р</w:t>
                  </w:r>
                  <w:proofErr w:type="gramEnd"/>
                  <w:r w:rsidRPr="00C86A75">
                    <w:rPr>
                      <w:szCs w:val="24"/>
                    </w:rPr>
                    <w:t xml:space="preserve"> 50861-96 «Система телетекст.</w:t>
                  </w:r>
                </w:p>
                <w:p w14:paraId="41DFCE53" w14:textId="3F2F68EF" w:rsidR="002D4E8C" w:rsidRPr="00BB1C9B" w:rsidRDefault="00C86A75" w:rsidP="00C86A75">
                  <w:pPr>
                    <w:framePr w:hSpace="180" w:wrap="around" w:vAnchor="text" w:hAnchor="text" w:y="1"/>
                    <w:suppressOverlap/>
                    <w:jc w:val="both"/>
                    <w:rPr>
                      <w:szCs w:val="24"/>
                    </w:rPr>
                  </w:pPr>
                  <w:r w:rsidRPr="00C86A75">
                    <w:rPr>
                      <w:szCs w:val="24"/>
                    </w:rPr>
                    <w:t xml:space="preserve">Основные параметры. </w:t>
                  </w:r>
                  <w:proofErr w:type="gramStart"/>
                  <w:r w:rsidRPr="00C86A75">
                    <w:rPr>
                      <w:szCs w:val="24"/>
                    </w:rPr>
                    <w:t>Методы измерения</w:t>
                  </w:r>
                  <w:bookmarkStart w:id="0" w:name="_GoBack"/>
                  <w:bookmarkEnd w:id="0"/>
                  <w:r w:rsidR="00B0075D">
                    <w:rPr>
                      <w:szCs w:val="24"/>
                    </w:rPr>
                    <w:t>»)</w:t>
                  </w:r>
                  <w:proofErr w:type="gramEnd"/>
                </w:p>
              </w:tc>
              <w:tc>
                <w:tcPr>
                  <w:tcW w:w="2722" w:type="dxa"/>
                </w:tcPr>
                <w:p w14:paraId="41FB1AF9"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1AE04159" w14:textId="77777777" w:rsidTr="007D6B5C">
              <w:tc>
                <w:tcPr>
                  <w:tcW w:w="2721" w:type="dxa"/>
                </w:tcPr>
                <w:p w14:paraId="02B37AA2" w14:textId="77777777" w:rsidR="002D4E8C" w:rsidRPr="00BB1C9B" w:rsidRDefault="002D4E8C" w:rsidP="00C86A75">
                  <w:pPr>
                    <w:framePr w:hSpace="180" w:wrap="around" w:vAnchor="text" w:hAnchor="text" w:y="1"/>
                    <w:suppressOverlap/>
                    <w:jc w:val="both"/>
                    <w:rPr>
                      <w:szCs w:val="24"/>
                    </w:rPr>
                  </w:pPr>
                  <w:r w:rsidRPr="00BB1C9B">
                    <w:rPr>
                      <w:szCs w:val="24"/>
                    </w:rPr>
                    <w:t>Телетекст должен работать с кириллицей (принимать сигналы на русском языке).</w:t>
                  </w:r>
                </w:p>
              </w:tc>
              <w:tc>
                <w:tcPr>
                  <w:tcW w:w="2722" w:type="dxa"/>
                </w:tcPr>
                <w:p w14:paraId="3A744DFA" w14:textId="77777777" w:rsidR="002D4E8C" w:rsidRPr="00BB1C9B" w:rsidRDefault="002D4E8C" w:rsidP="00C86A75">
                  <w:pPr>
                    <w:framePr w:hSpace="180" w:wrap="around" w:vAnchor="text" w:hAnchor="text" w:y="1"/>
                    <w:suppressOverlap/>
                    <w:jc w:val="both"/>
                    <w:rPr>
                      <w:bCs/>
                      <w:szCs w:val="24"/>
                    </w:rPr>
                  </w:pPr>
                  <w:r w:rsidRPr="00BB1C9B">
                    <w:rPr>
                      <w:bCs/>
                      <w:szCs w:val="24"/>
                    </w:rPr>
                    <w:t>Наличие</w:t>
                  </w:r>
                </w:p>
              </w:tc>
            </w:tr>
            <w:tr w:rsidR="002D4E8C" w:rsidRPr="00BB1C9B" w14:paraId="08BFE9D5" w14:textId="77777777" w:rsidTr="007D6B5C">
              <w:tc>
                <w:tcPr>
                  <w:tcW w:w="2721" w:type="dxa"/>
                </w:tcPr>
                <w:p w14:paraId="2837AF6D" w14:textId="77777777" w:rsidR="002D4E8C" w:rsidRPr="00BB1C9B" w:rsidRDefault="002D4E8C" w:rsidP="00C86A75">
                  <w:pPr>
                    <w:framePr w:hSpace="180" w:wrap="around" w:vAnchor="text" w:hAnchor="text" w:y="1"/>
                    <w:suppressOverlap/>
                    <w:jc w:val="both"/>
                    <w:rPr>
                      <w:szCs w:val="24"/>
                    </w:rPr>
                  </w:pPr>
                  <w:r w:rsidRPr="00BB1C9B">
                    <w:rPr>
                      <w:szCs w:val="24"/>
                    </w:rPr>
                    <w:t>Наличие входа AV</w:t>
                  </w:r>
                </w:p>
              </w:tc>
              <w:tc>
                <w:tcPr>
                  <w:tcW w:w="2722" w:type="dxa"/>
                </w:tcPr>
                <w:p w14:paraId="7B51B5FF"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6D0374E1" w14:textId="77777777" w:rsidTr="007D6B5C">
              <w:tc>
                <w:tcPr>
                  <w:tcW w:w="2721" w:type="dxa"/>
                </w:tcPr>
                <w:p w14:paraId="457A3CF6" w14:textId="608E472F" w:rsidR="002D4E8C" w:rsidRPr="00BB1C9B" w:rsidRDefault="00B0075D" w:rsidP="00C86A75">
                  <w:pPr>
                    <w:framePr w:hSpace="180" w:wrap="around" w:vAnchor="text" w:hAnchor="text" w:y="1"/>
                    <w:suppressOverlap/>
                    <w:jc w:val="both"/>
                    <w:rPr>
                      <w:szCs w:val="24"/>
                    </w:rPr>
                  </w:pPr>
                  <w:r>
                    <w:rPr>
                      <w:szCs w:val="24"/>
                    </w:rPr>
                    <w:t>Наличие разъемов для наушников</w:t>
                  </w:r>
                </w:p>
              </w:tc>
              <w:tc>
                <w:tcPr>
                  <w:tcW w:w="2722" w:type="dxa"/>
                </w:tcPr>
                <w:p w14:paraId="7D818620"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1CC4D91F" w14:textId="77777777" w:rsidTr="007D6B5C">
              <w:tc>
                <w:tcPr>
                  <w:tcW w:w="2721" w:type="dxa"/>
                </w:tcPr>
                <w:p w14:paraId="38A7D44C" w14:textId="77777777" w:rsidR="002D4E8C" w:rsidRPr="00BB1C9B" w:rsidRDefault="002D4E8C" w:rsidP="00C86A75">
                  <w:pPr>
                    <w:framePr w:hSpace="180" w:wrap="around" w:vAnchor="text" w:hAnchor="text" w:y="1"/>
                    <w:suppressOverlap/>
                    <w:jc w:val="both"/>
                    <w:rPr>
                      <w:szCs w:val="24"/>
                    </w:rPr>
                  </w:pPr>
                  <w:r w:rsidRPr="00BB1C9B">
                    <w:rPr>
                      <w:szCs w:val="24"/>
                    </w:rPr>
                    <w:t>Экранное меню на русском языке.</w:t>
                  </w:r>
                </w:p>
              </w:tc>
              <w:tc>
                <w:tcPr>
                  <w:tcW w:w="2722" w:type="dxa"/>
                </w:tcPr>
                <w:p w14:paraId="19884B7E"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72F7BE07" w14:textId="77777777" w:rsidTr="007D6B5C">
              <w:tc>
                <w:tcPr>
                  <w:tcW w:w="2721" w:type="dxa"/>
                </w:tcPr>
                <w:p w14:paraId="46CA4484" w14:textId="77777777" w:rsidR="002D4E8C" w:rsidRPr="00BB1C9B" w:rsidRDefault="002D4E8C" w:rsidP="00C86A75">
                  <w:pPr>
                    <w:framePr w:hSpace="180" w:wrap="around" w:vAnchor="text" w:hAnchor="text" w:y="1"/>
                    <w:suppressOverlap/>
                    <w:jc w:val="both"/>
                    <w:rPr>
                      <w:szCs w:val="24"/>
                    </w:rPr>
                  </w:pPr>
                  <w:r w:rsidRPr="00BB1C9B">
                    <w:rPr>
                      <w:szCs w:val="24"/>
                    </w:rPr>
                    <w:t>Комплектность</w:t>
                  </w:r>
                </w:p>
              </w:tc>
              <w:tc>
                <w:tcPr>
                  <w:tcW w:w="2722" w:type="dxa"/>
                </w:tcPr>
                <w:p w14:paraId="58B35604" w14:textId="77777777" w:rsidR="002D4E8C" w:rsidRPr="00BB1C9B" w:rsidRDefault="002D4E8C" w:rsidP="00C86A75">
                  <w:pPr>
                    <w:framePr w:hSpace="180" w:wrap="around" w:vAnchor="text" w:hAnchor="text" w:y="1"/>
                    <w:suppressOverlap/>
                    <w:jc w:val="both"/>
                    <w:rPr>
                      <w:bCs/>
                      <w:szCs w:val="24"/>
                    </w:rPr>
                  </w:pPr>
                  <w:r w:rsidRPr="00BB1C9B">
                    <w:rPr>
                      <w:szCs w:val="24"/>
                    </w:rPr>
                    <w:t xml:space="preserve">Телевизор с телетекстом должен быть укомплектован пультом </w:t>
                  </w:r>
                  <w:r w:rsidRPr="00BB1C9B">
                    <w:rPr>
                      <w:szCs w:val="24"/>
                    </w:rPr>
                    <w:lastRenderedPageBreak/>
                    <w:t>дистанционного управления и инструкцией по эксплуатации на русском языке.</w:t>
                  </w:r>
                </w:p>
              </w:tc>
            </w:tr>
            <w:tr w:rsidR="002D4E8C" w:rsidRPr="00BB1C9B" w14:paraId="6D048C88" w14:textId="77777777" w:rsidTr="007D6B5C">
              <w:tc>
                <w:tcPr>
                  <w:tcW w:w="2721" w:type="dxa"/>
                </w:tcPr>
                <w:p w14:paraId="254205EF" w14:textId="77777777" w:rsidR="002D4E8C" w:rsidRPr="00BB1C9B" w:rsidRDefault="002D4E8C" w:rsidP="00C86A75">
                  <w:pPr>
                    <w:framePr w:hSpace="180" w:wrap="around" w:vAnchor="text" w:hAnchor="text" w:y="1"/>
                    <w:suppressOverlap/>
                    <w:jc w:val="both"/>
                    <w:rPr>
                      <w:szCs w:val="24"/>
                    </w:rPr>
                  </w:pPr>
                  <w:r w:rsidRPr="00BB1C9B">
                    <w:rPr>
                      <w:szCs w:val="24"/>
                    </w:rPr>
                    <w:lastRenderedPageBreak/>
                    <w:t>Наличие сертификата соответствия Таможенного Союза. Соответствие ТР ТС 004/2011, ТР ТС 020/2011.</w:t>
                  </w:r>
                </w:p>
              </w:tc>
              <w:tc>
                <w:tcPr>
                  <w:tcW w:w="2722" w:type="dxa"/>
                </w:tcPr>
                <w:p w14:paraId="70EA712C" w14:textId="77777777" w:rsidR="002D4E8C" w:rsidRPr="00BB1C9B" w:rsidRDefault="002D4E8C" w:rsidP="00C86A75">
                  <w:pPr>
                    <w:framePr w:hSpace="180" w:wrap="around" w:vAnchor="text" w:hAnchor="text" w:y="1"/>
                    <w:suppressOverlap/>
                    <w:jc w:val="both"/>
                    <w:rPr>
                      <w:bCs/>
                      <w:szCs w:val="24"/>
                    </w:rPr>
                  </w:pPr>
                  <w:r w:rsidRPr="00BB1C9B">
                    <w:rPr>
                      <w:bCs/>
                      <w:szCs w:val="24"/>
                    </w:rPr>
                    <w:t>Да</w:t>
                  </w:r>
                </w:p>
              </w:tc>
            </w:tr>
            <w:tr w:rsidR="002D4E8C" w:rsidRPr="00BB1C9B" w14:paraId="1E5E967B" w14:textId="77777777" w:rsidTr="007D6B5C">
              <w:tc>
                <w:tcPr>
                  <w:tcW w:w="2721" w:type="dxa"/>
                </w:tcPr>
                <w:p w14:paraId="62903ECE" w14:textId="77777777" w:rsidR="002D4E8C" w:rsidRPr="00BB1C9B" w:rsidRDefault="002D4E8C" w:rsidP="00C86A75">
                  <w:pPr>
                    <w:framePr w:hSpace="180" w:wrap="around" w:vAnchor="text" w:hAnchor="text" w:y="1"/>
                    <w:suppressOverlap/>
                    <w:jc w:val="both"/>
                    <w:rPr>
                      <w:szCs w:val="24"/>
                    </w:rPr>
                  </w:pPr>
                  <w:r w:rsidRPr="00BB1C9B">
                    <w:rPr>
                      <w:szCs w:val="24"/>
                    </w:rPr>
                    <w:t xml:space="preserve">Класс </w:t>
                  </w:r>
                  <w:proofErr w:type="spellStart"/>
                  <w:r w:rsidRPr="00BB1C9B">
                    <w:rPr>
                      <w:szCs w:val="24"/>
                    </w:rPr>
                    <w:t>энергоэффективности</w:t>
                  </w:r>
                  <w:proofErr w:type="spellEnd"/>
                </w:p>
              </w:tc>
              <w:tc>
                <w:tcPr>
                  <w:tcW w:w="2722" w:type="dxa"/>
                </w:tcPr>
                <w:p w14:paraId="52C65959" w14:textId="6A1E81E2" w:rsidR="002D4E8C" w:rsidRPr="00BB1C9B" w:rsidRDefault="00B0075D" w:rsidP="00C86A75">
                  <w:pPr>
                    <w:framePr w:hSpace="180" w:wrap="around" w:vAnchor="text" w:hAnchor="text" w:y="1"/>
                    <w:suppressOverlap/>
                    <w:jc w:val="both"/>
                    <w:rPr>
                      <w:bCs/>
                      <w:szCs w:val="24"/>
                    </w:rPr>
                  </w:pPr>
                  <w:r>
                    <w:rPr>
                      <w:szCs w:val="24"/>
                    </w:rPr>
                    <w:t>не ниже класса «А»</w:t>
                  </w:r>
                </w:p>
              </w:tc>
            </w:tr>
          </w:tbl>
          <w:p w14:paraId="2DBFBCC9" w14:textId="77777777" w:rsidR="002D4E8C" w:rsidRPr="00BB1C9B" w:rsidRDefault="002D4E8C" w:rsidP="007D6B5C">
            <w:pPr>
              <w:keepLines/>
              <w:widowControl w:val="0"/>
              <w:suppressAutoHyphens/>
              <w:ind w:firstLine="176"/>
              <w:jc w:val="both"/>
              <w:rPr>
                <w:rFonts w:eastAsia="Times New Roman"/>
                <w:sz w:val="24"/>
                <w:szCs w:val="24"/>
                <w:lang w:eastAsia="ar-SA"/>
              </w:rPr>
            </w:pPr>
          </w:p>
        </w:tc>
        <w:tc>
          <w:tcPr>
            <w:tcW w:w="281" w:type="pct"/>
          </w:tcPr>
          <w:p w14:paraId="2FBA252A"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rPr>
              <w:lastRenderedPageBreak/>
              <w:t>700</w:t>
            </w:r>
          </w:p>
        </w:tc>
        <w:tc>
          <w:tcPr>
            <w:tcW w:w="270" w:type="pct"/>
          </w:tcPr>
          <w:p w14:paraId="1330944D"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rPr>
              <w:t>Шт.</w:t>
            </w:r>
          </w:p>
        </w:tc>
        <w:tc>
          <w:tcPr>
            <w:tcW w:w="349" w:type="pct"/>
          </w:tcPr>
          <w:p w14:paraId="49B611DC" w14:textId="77777777" w:rsidR="002D4E8C" w:rsidRPr="00BB1C9B" w:rsidRDefault="002D4E8C" w:rsidP="007D6B5C">
            <w:pPr>
              <w:keepLines/>
              <w:widowControl w:val="0"/>
              <w:suppressAutoHyphens/>
              <w:jc w:val="center"/>
              <w:rPr>
                <w:rFonts w:eastAsia="Times New Roman"/>
                <w:sz w:val="24"/>
                <w:szCs w:val="24"/>
                <w:lang w:eastAsia="ar-SA"/>
              </w:rPr>
            </w:pPr>
            <w:r w:rsidRPr="00BB1C9B">
              <w:rPr>
                <w:bCs/>
                <w:sz w:val="24"/>
                <w:szCs w:val="24"/>
              </w:rPr>
              <w:t>9 200,00</w:t>
            </w:r>
          </w:p>
        </w:tc>
        <w:tc>
          <w:tcPr>
            <w:tcW w:w="599" w:type="pct"/>
          </w:tcPr>
          <w:p w14:paraId="68D7EE20" w14:textId="77777777" w:rsidR="002D4E8C" w:rsidRPr="00BB1C9B" w:rsidRDefault="002D4E8C" w:rsidP="007D6B5C">
            <w:pPr>
              <w:keepLines/>
              <w:widowControl w:val="0"/>
              <w:suppressAutoHyphens/>
              <w:jc w:val="center"/>
              <w:rPr>
                <w:rFonts w:eastAsia="Times New Roman"/>
                <w:sz w:val="24"/>
                <w:szCs w:val="24"/>
                <w:lang w:eastAsia="ar-SA"/>
              </w:rPr>
            </w:pPr>
            <w:r w:rsidRPr="00BB1C9B">
              <w:rPr>
                <w:sz w:val="24"/>
                <w:szCs w:val="24"/>
              </w:rPr>
              <w:t>6 440 000,00</w:t>
            </w:r>
          </w:p>
        </w:tc>
      </w:tr>
      <w:tr w:rsidR="002D4E8C" w:rsidRPr="00BB1C9B" w14:paraId="202E4B8D" w14:textId="77777777" w:rsidTr="007D6B5C">
        <w:tc>
          <w:tcPr>
            <w:tcW w:w="3501" w:type="pct"/>
            <w:gridSpan w:val="4"/>
            <w:tcBorders>
              <w:top w:val="single" w:sz="4" w:space="0" w:color="auto"/>
              <w:left w:val="single" w:sz="4" w:space="0" w:color="auto"/>
              <w:bottom w:val="single" w:sz="4" w:space="0" w:color="auto"/>
              <w:right w:val="single" w:sz="4" w:space="0" w:color="auto"/>
            </w:tcBorders>
          </w:tcPr>
          <w:p w14:paraId="5FEEB740" w14:textId="77777777" w:rsidR="002D4E8C" w:rsidRPr="00BB1C9B" w:rsidRDefault="002D4E8C" w:rsidP="007D6B5C">
            <w:pPr>
              <w:keepLines/>
              <w:widowControl w:val="0"/>
              <w:suppressAutoHyphens/>
              <w:jc w:val="both"/>
              <w:rPr>
                <w:sz w:val="24"/>
                <w:szCs w:val="24"/>
                <w:lang w:eastAsia="ar-SA"/>
              </w:rPr>
            </w:pPr>
            <w:r w:rsidRPr="00BB1C9B">
              <w:rPr>
                <w:b/>
                <w:sz w:val="24"/>
                <w:szCs w:val="24"/>
                <w:lang w:eastAsia="ar-SA"/>
              </w:rPr>
              <w:lastRenderedPageBreak/>
              <w:t>ИТОГО</w:t>
            </w:r>
            <w:r w:rsidRPr="00BB1C9B">
              <w:rPr>
                <w:b/>
                <w:sz w:val="24"/>
                <w:szCs w:val="24"/>
                <w:lang w:val="en-US" w:eastAsia="ar-SA"/>
              </w:rPr>
              <w:t>:</w:t>
            </w:r>
          </w:p>
        </w:tc>
        <w:tc>
          <w:tcPr>
            <w:tcW w:w="281" w:type="pct"/>
          </w:tcPr>
          <w:p w14:paraId="63F90065" w14:textId="77777777" w:rsidR="002D4E8C" w:rsidRPr="00BB1C9B" w:rsidRDefault="002D4E8C" w:rsidP="007D6B5C">
            <w:pPr>
              <w:keepLines/>
              <w:widowControl w:val="0"/>
              <w:suppressAutoHyphens/>
              <w:jc w:val="center"/>
              <w:rPr>
                <w:b/>
                <w:sz w:val="24"/>
                <w:szCs w:val="24"/>
                <w:lang w:eastAsia="ar-SA"/>
              </w:rPr>
            </w:pPr>
            <w:r w:rsidRPr="00BB1C9B">
              <w:rPr>
                <w:b/>
                <w:sz w:val="24"/>
                <w:szCs w:val="24"/>
              </w:rPr>
              <w:t>700</w:t>
            </w:r>
          </w:p>
        </w:tc>
        <w:tc>
          <w:tcPr>
            <w:tcW w:w="270" w:type="pct"/>
          </w:tcPr>
          <w:p w14:paraId="6290FCFA" w14:textId="77777777" w:rsidR="002D4E8C" w:rsidRPr="00BB1C9B" w:rsidRDefault="002D4E8C" w:rsidP="007D6B5C">
            <w:pPr>
              <w:keepLines/>
              <w:widowControl w:val="0"/>
              <w:suppressAutoHyphens/>
              <w:jc w:val="center"/>
              <w:rPr>
                <w:b/>
                <w:sz w:val="24"/>
                <w:szCs w:val="24"/>
                <w:lang w:eastAsia="ar-SA"/>
              </w:rPr>
            </w:pPr>
          </w:p>
        </w:tc>
        <w:tc>
          <w:tcPr>
            <w:tcW w:w="349" w:type="pct"/>
          </w:tcPr>
          <w:p w14:paraId="6F45FE4D" w14:textId="77777777" w:rsidR="002D4E8C" w:rsidRPr="00BB1C9B" w:rsidRDefault="002D4E8C" w:rsidP="007D6B5C">
            <w:pPr>
              <w:keepLines/>
              <w:widowControl w:val="0"/>
              <w:suppressAutoHyphens/>
              <w:jc w:val="center"/>
              <w:rPr>
                <w:b/>
                <w:bCs/>
                <w:sz w:val="24"/>
                <w:szCs w:val="24"/>
                <w:lang w:eastAsia="ar-SA"/>
              </w:rPr>
            </w:pPr>
          </w:p>
        </w:tc>
        <w:tc>
          <w:tcPr>
            <w:tcW w:w="599" w:type="pct"/>
          </w:tcPr>
          <w:p w14:paraId="6B39B6FF" w14:textId="77777777" w:rsidR="002D4E8C" w:rsidRPr="00BB1C9B" w:rsidRDefault="002D4E8C" w:rsidP="007D6B5C">
            <w:pPr>
              <w:keepLines/>
              <w:widowControl w:val="0"/>
              <w:suppressAutoHyphens/>
              <w:jc w:val="center"/>
              <w:rPr>
                <w:b/>
                <w:sz w:val="24"/>
                <w:szCs w:val="24"/>
              </w:rPr>
            </w:pPr>
            <w:r w:rsidRPr="00BB1C9B">
              <w:rPr>
                <w:b/>
                <w:sz w:val="24"/>
                <w:szCs w:val="24"/>
              </w:rPr>
              <w:t>6 440 000,00</w:t>
            </w:r>
          </w:p>
        </w:tc>
      </w:tr>
    </w:tbl>
    <w:p w14:paraId="2B151DE4" w14:textId="77777777" w:rsidR="002D4E8C" w:rsidRPr="00BB1C9B" w:rsidRDefault="002D4E8C" w:rsidP="002D4E8C">
      <w:pPr>
        <w:keepLines/>
        <w:widowControl w:val="0"/>
        <w:suppressAutoHyphens/>
        <w:ind w:firstLine="567"/>
        <w:jc w:val="both"/>
        <w:rPr>
          <w:b/>
          <w:szCs w:val="24"/>
        </w:rPr>
      </w:pPr>
    </w:p>
    <w:p w14:paraId="64287A1C" w14:textId="77777777" w:rsidR="002D4E8C" w:rsidRPr="00BB1C9B" w:rsidRDefault="002D4E8C" w:rsidP="002D4E8C">
      <w:pPr>
        <w:tabs>
          <w:tab w:val="left" w:pos="709"/>
        </w:tabs>
        <w:ind w:firstLine="567"/>
        <w:jc w:val="both"/>
        <w:rPr>
          <w:rFonts w:eastAsia="Calibri"/>
          <w:bCs/>
          <w:szCs w:val="24"/>
          <w:lang w:eastAsia="en-US"/>
        </w:rPr>
      </w:pPr>
      <w:r w:rsidRPr="00BB1C9B">
        <w:rPr>
          <w:rFonts w:eastAsia="Calibri"/>
          <w:bCs/>
          <w:szCs w:val="24"/>
          <w:lang w:eastAsia="en-US"/>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региональным отделением по истечении сроков службы, установленных изготовителем ТСР.</w:t>
      </w:r>
    </w:p>
    <w:p w14:paraId="7FE16C8B" w14:textId="77777777" w:rsidR="002D4E8C" w:rsidRPr="00BB1C9B" w:rsidRDefault="002D4E8C" w:rsidP="002D4E8C">
      <w:pPr>
        <w:tabs>
          <w:tab w:val="left" w:pos="709"/>
        </w:tabs>
        <w:ind w:firstLine="567"/>
        <w:jc w:val="both"/>
        <w:rPr>
          <w:rFonts w:eastAsia="Calibri"/>
          <w:b/>
          <w:bCs/>
          <w:szCs w:val="24"/>
          <w:lang w:eastAsia="en-US"/>
        </w:rPr>
      </w:pPr>
      <w:r w:rsidRPr="00BB1C9B">
        <w:rPr>
          <w:rFonts w:eastAsia="Calibri"/>
          <w:b/>
          <w:bCs/>
          <w:szCs w:val="24"/>
          <w:lang w:eastAsia="en-US"/>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060E11AD" w14:textId="77777777" w:rsidR="002D4E8C" w:rsidRPr="00BB1C9B" w:rsidRDefault="002D4E8C" w:rsidP="002D4E8C">
      <w:pPr>
        <w:tabs>
          <w:tab w:val="left" w:pos="709"/>
        </w:tabs>
        <w:ind w:firstLine="567"/>
        <w:jc w:val="both"/>
        <w:rPr>
          <w:rFonts w:eastAsia="Calibri"/>
          <w:szCs w:val="24"/>
          <w:lang w:eastAsia="en-US"/>
        </w:rPr>
      </w:pPr>
      <w:r w:rsidRPr="00BB1C9B">
        <w:rPr>
          <w:rFonts w:eastAsia="Calibri"/>
          <w:szCs w:val="24"/>
          <w:lang w:eastAsia="en-US"/>
        </w:rPr>
        <w:t>Гарантийный срок Товара должен составлять не менее 24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64C8D304" w14:textId="77777777" w:rsidR="002D4E8C" w:rsidRPr="00BB1C9B" w:rsidRDefault="002D4E8C" w:rsidP="002D4E8C">
      <w:pPr>
        <w:tabs>
          <w:tab w:val="left" w:pos="709"/>
        </w:tabs>
        <w:ind w:firstLine="567"/>
        <w:jc w:val="both"/>
        <w:rPr>
          <w:rFonts w:eastAsia="Calibri"/>
          <w:szCs w:val="24"/>
          <w:lang w:eastAsia="en-US"/>
        </w:rPr>
      </w:pPr>
      <w:r w:rsidRPr="00BB1C9B">
        <w:rPr>
          <w:rFonts w:eastAsia="Calibri"/>
          <w:szCs w:val="24"/>
          <w:lang w:eastAsia="en-US"/>
        </w:rPr>
        <w:t xml:space="preserve">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w:t>
      </w:r>
    </w:p>
    <w:p w14:paraId="07543100" w14:textId="77777777" w:rsidR="002D4E8C" w:rsidRPr="00BB1C9B" w:rsidRDefault="002D4E8C" w:rsidP="002D4E8C">
      <w:pPr>
        <w:tabs>
          <w:tab w:val="left" w:pos="709"/>
        </w:tabs>
        <w:ind w:firstLine="567"/>
        <w:jc w:val="both"/>
        <w:rPr>
          <w:rFonts w:eastAsia="Calibri"/>
          <w:szCs w:val="24"/>
          <w:lang w:eastAsia="en-US"/>
        </w:rPr>
      </w:pPr>
      <w:r w:rsidRPr="00BB1C9B">
        <w:rPr>
          <w:rFonts w:eastAsia="Calibri"/>
          <w:szCs w:val="24"/>
          <w:lang w:eastAsia="en-US"/>
        </w:rPr>
        <w:t>До 15.01.2024 г.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43E879BB" w14:textId="77777777" w:rsidR="002D4E8C" w:rsidRPr="00BB1C9B" w:rsidRDefault="002D4E8C" w:rsidP="002D4E8C">
      <w:pPr>
        <w:tabs>
          <w:tab w:val="left" w:pos="709"/>
        </w:tabs>
        <w:ind w:firstLine="567"/>
        <w:jc w:val="both"/>
        <w:rPr>
          <w:rFonts w:eastAsia="Calibri"/>
          <w:szCs w:val="24"/>
          <w:lang w:eastAsia="en-US"/>
        </w:rPr>
      </w:pPr>
      <w:r w:rsidRPr="00BB1C9B">
        <w:rPr>
          <w:rFonts w:eastAsia="Calibri"/>
          <w:szCs w:val="24"/>
          <w:lang w:eastAsia="en-US"/>
        </w:rPr>
        <w:t>Поставщик гарантирует,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892E5A2" w14:textId="77777777" w:rsidR="002D4E8C" w:rsidRPr="00BB1C9B" w:rsidRDefault="002D4E8C" w:rsidP="002D4E8C">
      <w:pPr>
        <w:suppressAutoHyphens/>
        <w:ind w:firstLine="567"/>
        <w:jc w:val="both"/>
        <w:rPr>
          <w:rFonts w:eastAsia="Calibri"/>
          <w:szCs w:val="24"/>
        </w:rPr>
      </w:pPr>
      <w:r w:rsidRPr="00BB1C9B">
        <w:rPr>
          <w:rFonts w:eastAsia="Calibri"/>
          <w:szCs w:val="24"/>
        </w:rPr>
        <w:t>Телевизоры с телетекстом для приема программ со скрытыми субтитрами с диагональю не менее 80 см должны соответствовать Государственному стандарту Российской Федерации - ГОСТ Р ИСО 9999-2019 «Вспомогательные средства для людей с ограничениями жизнедеятельности. Классификация и терминология», ТР ТС 004/2011 «Технический регламент Таможенного Союза. О безопасности низковольтного оборудования», ТР ТС 020/2011 «Электромагнитная совместимость технических средств». Телетекст должен соответствовать требованием ГОСТ Р 50861-96 «Система телетекст. Основные параметры. Методы измерений» (пункт 4.9.6).</w:t>
      </w:r>
    </w:p>
    <w:p w14:paraId="41D0DBBC" w14:textId="77777777" w:rsidR="002D4E8C" w:rsidRPr="00BB1C9B" w:rsidRDefault="002D4E8C" w:rsidP="002D4E8C">
      <w:pPr>
        <w:suppressAutoHyphens/>
        <w:ind w:firstLine="567"/>
        <w:jc w:val="both"/>
        <w:rPr>
          <w:b/>
          <w:bCs/>
          <w:szCs w:val="24"/>
        </w:rPr>
      </w:pPr>
      <w:r w:rsidRPr="00BB1C9B">
        <w:rPr>
          <w:b/>
          <w:bCs/>
          <w:szCs w:val="24"/>
        </w:rPr>
        <w:lastRenderedPageBreak/>
        <w:t>Место доставки товара, выполнения работ, оказания услуг:</w:t>
      </w:r>
    </w:p>
    <w:p w14:paraId="048A9118" w14:textId="77777777" w:rsidR="002D4E8C" w:rsidRPr="00BB1C9B" w:rsidRDefault="002D4E8C" w:rsidP="002D4E8C">
      <w:pPr>
        <w:ind w:firstLine="567"/>
        <w:rPr>
          <w:rFonts w:eastAsia="Calibri"/>
          <w:szCs w:val="24"/>
          <w:lang w:eastAsia="en-US"/>
        </w:rPr>
      </w:pPr>
      <w:r w:rsidRPr="00BB1C9B">
        <w:rPr>
          <w:rFonts w:eastAsia="Calibri"/>
          <w:szCs w:val="24"/>
          <w:lang w:eastAsia="en-US"/>
        </w:rPr>
        <w:t>Краснодарский край:</w:t>
      </w:r>
    </w:p>
    <w:p w14:paraId="52ECF85F" w14:textId="77777777" w:rsidR="002D4E8C" w:rsidRPr="00BB1C9B" w:rsidRDefault="002D4E8C" w:rsidP="002D4E8C">
      <w:pPr>
        <w:ind w:firstLine="567"/>
        <w:rPr>
          <w:rFonts w:eastAsia="Calibri"/>
          <w:szCs w:val="24"/>
          <w:lang w:eastAsia="en-US"/>
        </w:rPr>
      </w:pPr>
      <w:r w:rsidRPr="00BB1C9B">
        <w:rPr>
          <w:rFonts w:eastAsia="Calibri"/>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68012642" w14:textId="77777777" w:rsidR="002D4E8C" w:rsidRPr="00BB1C9B" w:rsidRDefault="002D4E8C" w:rsidP="002D4E8C">
      <w:pPr>
        <w:tabs>
          <w:tab w:val="left" w:pos="709"/>
        </w:tabs>
        <w:ind w:firstLine="567"/>
        <w:jc w:val="both"/>
        <w:rPr>
          <w:rFonts w:eastAsia="Calibri"/>
          <w:szCs w:val="24"/>
          <w:lang w:eastAsia="en-US"/>
        </w:rPr>
      </w:pPr>
      <w:r w:rsidRPr="00BB1C9B">
        <w:rPr>
          <w:rFonts w:eastAsia="Calibri"/>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0F259256" w14:textId="77777777" w:rsidR="002D4E8C" w:rsidRPr="00BB1C9B" w:rsidRDefault="002D4E8C" w:rsidP="002D4E8C">
      <w:pPr>
        <w:tabs>
          <w:tab w:val="left" w:pos="851"/>
        </w:tabs>
        <w:ind w:firstLine="567"/>
        <w:jc w:val="both"/>
        <w:rPr>
          <w:b/>
          <w:bCs/>
          <w:szCs w:val="24"/>
        </w:rPr>
      </w:pPr>
    </w:p>
    <w:p w14:paraId="2F6BB759" w14:textId="77777777" w:rsidR="002D4E8C" w:rsidRPr="00BB1C9B" w:rsidRDefault="002D4E8C" w:rsidP="002D4E8C">
      <w:pPr>
        <w:tabs>
          <w:tab w:val="left" w:pos="851"/>
        </w:tabs>
        <w:ind w:firstLine="567"/>
        <w:jc w:val="both"/>
        <w:rPr>
          <w:b/>
          <w:bCs/>
          <w:szCs w:val="24"/>
        </w:rPr>
      </w:pPr>
      <w:r w:rsidRPr="00BB1C9B">
        <w:rPr>
          <w:b/>
          <w:bCs/>
          <w:szCs w:val="24"/>
        </w:rPr>
        <w:t>Сроки поставки товара или завершения работ, либо график оказания услуг:</w:t>
      </w:r>
    </w:p>
    <w:p w14:paraId="52659D75" w14:textId="77777777" w:rsidR="002D4E8C" w:rsidRPr="00BB1C9B" w:rsidRDefault="002D4E8C" w:rsidP="002D4E8C">
      <w:pPr>
        <w:keepNext/>
        <w:widowControl w:val="0"/>
        <w:tabs>
          <w:tab w:val="left" w:pos="7371"/>
        </w:tabs>
        <w:ind w:firstLine="567"/>
        <w:jc w:val="both"/>
        <w:rPr>
          <w:szCs w:val="24"/>
        </w:rPr>
      </w:pPr>
      <w:r w:rsidRPr="00BB1C9B">
        <w:rPr>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11.07.2024 года. </w:t>
      </w:r>
    </w:p>
    <w:p w14:paraId="4612D19C" w14:textId="2BB9CD18" w:rsidR="005E5EAB" w:rsidRDefault="002D4E8C" w:rsidP="002D4E8C">
      <w:pPr>
        <w:keepNext/>
        <w:widowControl w:val="0"/>
        <w:tabs>
          <w:tab w:val="left" w:pos="7371"/>
        </w:tabs>
        <w:ind w:firstLine="567"/>
        <w:jc w:val="both"/>
        <w:rPr>
          <w:b/>
          <w:szCs w:val="24"/>
        </w:rPr>
      </w:pPr>
      <w:r w:rsidRPr="00BB1C9B">
        <w:rPr>
          <w:bCs/>
          <w:szCs w:val="24"/>
        </w:rPr>
        <w:t>До 15.01.2024 г.</w:t>
      </w:r>
      <w:r w:rsidRPr="00BB1C9B">
        <w:rPr>
          <w:szCs w:val="24"/>
        </w:rPr>
        <w:t xml:space="preserve"> предоставить на склад Поставщика, расположенный на территории Краснодарского края, 100% от общего количества Товара (для возможности Заказчику провести выборочную приемку товара).</w:t>
      </w:r>
    </w:p>
    <w:sectPr w:rsidR="005E5EAB"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485BC6E" w14:textId="77777777" w:rsidR="002D4E8C" w:rsidRDefault="002D4E8C" w:rsidP="002D4E8C">
      <w:pPr>
        <w:pStyle w:val="affff4"/>
      </w:pPr>
      <w:r>
        <w:rPr>
          <w:rStyle w:val="affff6"/>
        </w:rPr>
        <w:footnoteRef/>
      </w:r>
      <w:r>
        <w:t xml:space="preserve"> Не более</w:t>
      </w:r>
    </w:p>
  </w:footnote>
  <w:footnote w:id="2">
    <w:p w14:paraId="299A9E5B" w14:textId="77777777" w:rsidR="002D4E8C" w:rsidRDefault="002D4E8C" w:rsidP="002D4E8C">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614EF"/>
    <w:rsid w:val="00194410"/>
    <w:rsid w:val="001967B7"/>
    <w:rsid w:val="001B422E"/>
    <w:rsid w:val="001C02FA"/>
    <w:rsid w:val="001C54FA"/>
    <w:rsid w:val="00202B0D"/>
    <w:rsid w:val="00224785"/>
    <w:rsid w:val="00225261"/>
    <w:rsid w:val="00230E03"/>
    <w:rsid w:val="002454A4"/>
    <w:rsid w:val="0024676B"/>
    <w:rsid w:val="00262F2D"/>
    <w:rsid w:val="00292D62"/>
    <w:rsid w:val="002D4E8C"/>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0075D"/>
    <w:rsid w:val="00B27775"/>
    <w:rsid w:val="00B27C95"/>
    <w:rsid w:val="00B3008E"/>
    <w:rsid w:val="00B32DE4"/>
    <w:rsid w:val="00B4523B"/>
    <w:rsid w:val="00B849FF"/>
    <w:rsid w:val="00B91503"/>
    <w:rsid w:val="00BD0741"/>
    <w:rsid w:val="00BD26F7"/>
    <w:rsid w:val="00BD790A"/>
    <w:rsid w:val="00BF1B6F"/>
    <w:rsid w:val="00BF7B4A"/>
    <w:rsid w:val="00C131AD"/>
    <w:rsid w:val="00C135FC"/>
    <w:rsid w:val="00C67BED"/>
    <w:rsid w:val="00C86A75"/>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19BB"/>
    <w:rsid w:val="00EF4A53"/>
    <w:rsid w:val="00F210DC"/>
    <w:rsid w:val="00F40C65"/>
    <w:rsid w:val="00F4162E"/>
    <w:rsid w:val="00F45416"/>
    <w:rsid w:val="00F55F93"/>
    <w:rsid w:val="00F76095"/>
    <w:rsid w:val="00F82A8E"/>
    <w:rsid w:val="00F935B8"/>
    <w:rsid w:val="00FC10F7"/>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uiPriority w:val="59"/>
    <w:rsid w:val="00EF19B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C64C-8904-481D-B545-F1D365A9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150</cp:revision>
  <dcterms:created xsi:type="dcterms:W3CDTF">2021-12-29T15:28:00Z</dcterms:created>
  <dcterms:modified xsi:type="dcterms:W3CDTF">2023-10-18T10:05:00Z</dcterms:modified>
</cp:coreProperties>
</file>