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DF3" w:rsidRDefault="009C0A1A" w:rsidP="00C86DF3">
      <w:pPr>
        <w:autoSpaceDE w:val="0"/>
        <w:jc w:val="center"/>
        <w:rPr>
          <w:b/>
          <w:bCs/>
          <w:sz w:val="25"/>
          <w:szCs w:val="25"/>
        </w:rPr>
      </w:pPr>
      <w:r w:rsidRPr="000A6E48">
        <w:rPr>
          <w:b/>
          <w:bCs/>
          <w:sz w:val="25"/>
          <w:szCs w:val="25"/>
        </w:rPr>
        <w:t>Описание объекта закупки</w:t>
      </w:r>
    </w:p>
    <w:p w:rsidR="009C0A1A" w:rsidRDefault="009C0A1A" w:rsidP="00C86DF3">
      <w:pPr>
        <w:autoSpaceDE w:val="0"/>
        <w:jc w:val="center"/>
        <w:rPr>
          <w:b/>
          <w:bCs/>
          <w:sz w:val="26"/>
          <w:szCs w:val="26"/>
        </w:rPr>
      </w:pPr>
    </w:p>
    <w:p w:rsidR="00C86DF3" w:rsidRPr="00E37329" w:rsidRDefault="00C86DF3" w:rsidP="00C86DF3">
      <w:pPr>
        <w:rPr>
          <w:b/>
          <w:sz w:val="25"/>
          <w:szCs w:val="25"/>
        </w:rPr>
      </w:pPr>
      <w:r w:rsidRPr="00676668">
        <w:rPr>
          <w:b/>
          <w:sz w:val="25"/>
          <w:szCs w:val="25"/>
        </w:rPr>
        <w:t xml:space="preserve">Требования к срокам и </w:t>
      </w:r>
      <w:r w:rsidRPr="00E37329">
        <w:rPr>
          <w:b/>
          <w:sz w:val="25"/>
          <w:szCs w:val="25"/>
        </w:rPr>
        <w:t>месту выполнения работ:</w:t>
      </w:r>
    </w:p>
    <w:p w:rsidR="00C86DF3" w:rsidRPr="00E37329" w:rsidRDefault="00C86DF3" w:rsidP="00C86DF3">
      <w:pPr>
        <w:jc w:val="both"/>
        <w:rPr>
          <w:sz w:val="25"/>
          <w:szCs w:val="25"/>
        </w:rPr>
      </w:pPr>
      <w:r w:rsidRPr="00E37329">
        <w:rPr>
          <w:b/>
          <w:sz w:val="25"/>
          <w:szCs w:val="25"/>
        </w:rPr>
        <w:t>Сроки выполнения работ:</w:t>
      </w:r>
      <w:r w:rsidRPr="00E37329">
        <w:rPr>
          <w:sz w:val="25"/>
          <w:szCs w:val="25"/>
        </w:rPr>
        <w:t xml:space="preserve"> </w:t>
      </w:r>
      <w:r w:rsidR="00F246BB" w:rsidRPr="00E37329">
        <w:rPr>
          <w:sz w:val="25"/>
          <w:szCs w:val="25"/>
        </w:rPr>
        <w:t xml:space="preserve">изготовить и передать Получателю результат работ в течение 28 (Двадцати восьми) дней </w:t>
      </w:r>
      <w:proofErr w:type="gramStart"/>
      <w:r w:rsidR="00F246BB" w:rsidRPr="00E37329">
        <w:rPr>
          <w:sz w:val="25"/>
          <w:szCs w:val="25"/>
        </w:rPr>
        <w:t>с даты обращения</w:t>
      </w:r>
      <w:proofErr w:type="gramEnd"/>
      <w:r w:rsidR="00F246BB" w:rsidRPr="00E37329">
        <w:rPr>
          <w:sz w:val="25"/>
          <w:szCs w:val="25"/>
        </w:rPr>
        <w:t xml:space="preserve"> Получателя к Исполнителю с направлением, выданным Заказчиком.</w:t>
      </w:r>
    </w:p>
    <w:p w:rsidR="00F246BB" w:rsidRPr="00E37329" w:rsidRDefault="00F246BB" w:rsidP="00C86DF3">
      <w:pPr>
        <w:jc w:val="both"/>
        <w:rPr>
          <w:sz w:val="25"/>
          <w:szCs w:val="25"/>
        </w:rPr>
      </w:pPr>
      <w:r w:rsidRPr="00E37329">
        <w:rPr>
          <w:b/>
          <w:sz w:val="25"/>
          <w:szCs w:val="25"/>
        </w:rPr>
        <w:t>Срок исполнения контракта:</w:t>
      </w:r>
      <w:r w:rsidRPr="00E37329">
        <w:rPr>
          <w:sz w:val="25"/>
          <w:szCs w:val="25"/>
        </w:rPr>
        <w:t xml:space="preserve"> </w:t>
      </w:r>
      <w:r w:rsidR="00E37329" w:rsidRPr="00E37329">
        <w:rPr>
          <w:sz w:val="25"/>
          <w:szCs w:val="25"/>
          <w:lang w:eastAsia="ru-RU"/>
        </w:rPr>
        <w:t>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w:t>
      </w:r>
      <w:r w:rsidR="00FB606B">
        <w:rPr>
          <w:sz w:val="25"/>
          <w:szCs w:val="25"/>
          <w:lang w:eastAsia="ru-RU"/>
        </w:rPr>
        <w:t xml:space="preserve">ионной системе и действует до </w:t>
      </w:r>
      <w:r w:rsidR="00611DDC">
        <w:rPr>
          <w:sz w:val="25"/>
          <w:szCs w:val="25"/>
          <w:lang w:eastAsia="ru-RU"/>
        </w:rPr>
        <w:t>26</w:t>
      </w:r>
      <w:r w:rsidR="00FB606B">
        <w:rPr>
          <w:sz w:val="25"/>
          <w:szCs w:val="25"/>
          <w:lang w:eastAsia="ru-RU"/>
        </w:rPr>
        <w:t>.0</w:t>
      </w:r>
      <w:r w:rsidR="00611DDC">
        <w:rPr>
          <w:sz w:val="25"/>
          <w:szCs w:val="25"/>
          <w:lang w:eastAsia="ru-RU"/>
        </w:rPr>
        <w:t>4</w:t>
      </w:r>
      <w:r w:rsidR="00FB606B">
        <w:rPr>
          <w:sz w:val="25"/>
          <w:szCs w:val="25"/>
          <w:lang w:eastAsia="ru-RU"/>
        </w:rPr>
        <w:t>.2024</w:t>
      </w:r>
      <w:r w:rsidR="00E37329" w:rsidRPr="00E37329">
        <w:rPr>
          <w:sz w:val="25"/>
          <w:szCs w:val="25"/>
          <w:lang w:eastAsia="ru-RU"/>
        </w:rPr>
        <w:t xml:space="preserve"> года. Окончание срока действия Контракта не влечет прекращения неисполненных обязатель</w:t>
      </w:r>
      <w:proofErr w:type="gramStart"/>
      <w:r w:rsidR="00E37329" w:rsidRPr="00E37329">
        <w:rPr>
          <w:sz w:val="25"/>
          <w:szCs w:val="25"/>
          <w:lang w:eastAsia="ru-RU"/>
        </w:rPr>
        <w:t>ств Ст</w:t>
      </w:r>
      <w:proofErr w:type="gramEnd"/>
      <w:r w:rsidR="00E37329" w:rsidRPr="00E37329">
        <w:rPr>
          <w:sz w:val="25"/>
          <w:szCs w:val="25"/>
          <w:lang w:eastAsia="ru-RU"/>
        </w:rPr>
        <w:t>орон по Контракту, в том числе гарантийных обязательств Исполнителя</w:t>
      </w:r>
      <w:r w:rsidR="00E32CB5" w:rsidRPr="00E37329">
        <w:rPr>
          <w:sz w:val="25"/>
          <w:szCs w:val="25"/>
        </w:rPr>
        <w:t>.</w:t>
      </w:r>
    </w:p>
    <w:p w:rsidR="00D03064" w:rsidRPr="00E32CB5" w:rsidRDefault="00C86DF3" w:rsidP="00D03064">
      <w:pPr>
        <w:jc w:val="both"/>
        <w:rPr>
          <w:color w:val="000000"/>
          <w:spacing w:val="-4"/>
          <w:sz w:val="25"/>
          <w:szCs w:val="25"/>
        </w:rPr>
      </w:pPr>
      <w:proofErr w:type="gramStart"/>
      <w:r w:rsidRPr="00E37329">
        <w:rPr>
          <w:b/>
          <w:bCs/>
          <w:color w:val="000000"/>
          <w:spacing w:val="-4"/>
          <w:sz w:val="25"/>
          <w:szCs w:val="25"/>
        </w:rPr>
        <w:t xml:space="preserve">Место выполнения работ: </w:t>
      </w:r>
      <w:r w:rsidR="00E37329" w:rsidRPr="00E37329">
        <w:rPr>
          <w:sz w:val="25"/>
          <w:szCs w:val="25"/>
        </w:rPr>
        <w:t>снятие мерок, выдача результата работы, в случае необходимости протезирование в условиях стационара и другие виды работ, требующие присутствие получателя, производятся в специализированных помещениях г. Архангельска, в соответствии с приказом Минтруда России от 30.07.2015г.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w:t>
      </w:r>
      <w:proofErr w:type="gramEnd"/>
      <w:r w:rsidR="00E37329" w:rsidRPr="00E37329">
        <w:rPr>
          <w:sz w:val="25"/>
          <w:szCs w:val="25"/>
        </w:rPr>
        <w:t xml:space="preserve"> оказания им при этом необходимой помощи», место выполнения иных работ определяется Исполнителем самостоятельно</w:t>
      </w:r>
      <w:r w:rsidR="00D03064" w:rsidRPr="00E32CB5">
        <w:rPr>
          <w:color w:val="000000"/>
          <w:spacing w:val="-4"/>
          <w:sz w:val="25"/>
          <w:szCs w:val="25"/>
        </w:rPr>
        <w:t xml:space="preserve">. </w:t>
      </w:r>
    </w:p>
    <w:p w:rsidR="00C86DF3" w:rsidRPr="00E32CB5" w:rsidRDefault="00C86DF3" w:rsidP="00C86DF3">
      <w:pPr>
        <w:jc w:val="both"/>
        <w:rPr>
          <w:b/>
          <w:sz w:val="25"/>
          <w:szCs w:val="25"/>
          <w:lang w:eastAsia="ru-RU"/>
        </w:rPr>
      </w:pPr>
      <w:r w:rsidRPr="00E32CB5">
        <w:rPr>
          <w:b/>
          <w:sz w:val="25"/>
          <w:szCs w:val="25"/>
          <w:lang w:eastAsia="ru-RU"/>
        </w:rPr>
        <w:t xml:space="preserve">Место и порядок передачи изделия получателю:   </w:t>
      </w:r>
    </w:p>
    <w:p w:rsidR="00F246BB" w:rsidRPr="00F246BB" w:rsidRDefault="00F246BB" w:rsidP="00F246BB">
      <w:pPr>
        <w:jc w:val="both"/>
        <w:rPr>
          <w:sz w:val="25"/>
          <w:szCs w:val="25"/>
          <w:lang w:eastAsia="ru-RU"/>
        </w:rPr>
      </w:pPr>
      <w:r w:rsidRPr="00E32CB5">
        <w:rPr>
          <w:sz w:val="25"/>
          <w:szCs w:val="25"/>
          <w:lang w:eastAsia="ru-RU"/>
        </w:rPr>
        <w:t>В случае необходимости - отправить изготовленное</w:t>
      </w:r>
      <w:r w:rsidRPr="00F246BB">
        <w:rPr>
          <w:sz w:val="25"/>
          <w:szCs w:val="25"/>
          <w:lang w:eastAsia="ru-RU"/>
        </w:rPr>
        <w:t xml:space="preserve"> изделие Получателю, указанному в Направлении, по месту его жительства.   </w:t>
      </w:r>
    </w:p>
    <w:p w:rsidR="00F246BB" w:rsidRPr="00F246BB" w:rsidRDefault="00F246BB" w:rsidP="00F246BB">
      <w:pPr>
        <w:jc w:val="both"/>
        <w:rPr>
          <w:sz w:val="25"/>
          <w:szCs w:val="25"/>
          <w:lang w:eastAsia="ru-RU"/>
        </w:rPr>
      </w:pPr>
      <w:r w:rsidRPr="00F246BB">
        <w:rPr>
          <w:sz w:val="25"/>
          <w:szCs w:val="25"/>
          <w:lang w:eastAsia="ru-RU"/>
        </w:rPr>
        <w:t xml:space="preserve">При передаче результатов Работ Получателю оформить Акт сдачи-приемки Работ, который является документом, подтверждающим факт выполнения Работ, а дата его подписания является датой приемки выполненных Работ. Акт подписывается Исполнителем и Получателем и оформляется в 3 (Трех) экземплярах, один из которых передается Заказчику, один остается у Исполнителя, один – у Получателя. </w:t>
      </w:r>
    </w:p>
    <w:p w:rsidR="00EF3D40" w:rsidRPr="00EF3D40" w:rsidRDefault="00F246BB" w:rsidP="00EF3D40">
      <w:pPr>
        <w:jc w:val="both"/>
        <w:rPr>
          <w:sz w:val="25"/>
          <w:szCs w:val="25"/>
          <w:lang w:eastAsia="ru-RU"/>
        </w:rPr>
      </w:pPr>
      <w:r w:rsidRPr="00F246BB">
        <w:rPr>
          <w:sz w:val="25"/>
          <w:szCs w:val="25"/>
          <w:lang w:eastAsia="ru-RU"/>
        </w:rPr>
        <w:t xml:space="preserve"> В случае использования услуг транспортной организации, почтовой связи Акт сдачи-приемки Работ подписывается только Исполнителем с приложением документов (транспортных, сопроводительных, уведомлений о вручении и пр.), подтверждающих факт отправки и вручения Получателю готового изделия.   </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6237"/>
        <w:gridCol w:w="1098"/>
      </w:tblGrid>
      <w:tr w:rsidR="00EF3D40" w:rsidRPr="00310CD7" w:rsidTr="00EF3D40">
        <w:trPr>
          <w:trHeight w:val="603"/>
        </w:trPr>
        <w:tc>
          <w:tcPr>
            <w:tcW w:w="534" w:type="dxa"/>
            <w:shd w:val="clear" w:color="auto" w:fill="auto"/>
          </w:tcPr>
          <w:p w:rsidR="00EF3D40" w:rsidRPr="00310CD7" w:rsidRDefault="00EF3D40" w:rsidP="00EF3D40">
            <w:pPr>
              <w:autoSpaceDE w:val="0"/>
              <w:jc w:val="both"/>
              <w:rPr>
                <w:kern w:val="2"/>
                <w:lang w:eastAsia="ru-RU"/>
              </w:rPr>
            </w:pPr>
            <w:r w:rsidRPr="00310CD7">
              <w:rPr>
                <w:kern w:val="2"/>
                <w:lang w:eastAsia="ru-RU"/>
              </w:rPr>
              <w:t>№</w:t>
            </w:r>
          </w:p>
        </w:tc>
        <w:tc>
          <w:tcPr>
            <w:tcW w:w="2268" w:type="dxa"/>
            <w:shd w:val="clear" w:color="auto" w:fill="auto"/>
          </w:tcPr>
          <w:p w:rsidR="00EF3D40" w:rsidRPr="00310CD7" w:rsidRDefault="00EF3D40" w:rsidP="00EF3D40">
            <w:pPr>
              <w:autoSpaceDE w:val="0"/>
              <w:jc w:val="center"/>
              <w:rPr>
                <w:kern w:val="2"/>
                <w:lang w:eastAsia="ru-RU"/>
              </w:rPr>
            </w:pPr>
            <w:r w:rsidRPr="00310CD7">
              <w:rPr>
                <w:kern w:val="2"/>
                <w:lang w:eastAsia="ru-RU"/>
              </w:rPr>
              <w:t>Наименование изделия</w:t>
            </w:r>
          </w:p>
        </w:tc>
        <w:tc>
          <w:tcPr>
            <w:tcW w:w="6237" w:type="dxa"/>
            <w:shd w:val="clear" w:color="auto" w:fill="auto"/>
          </w:tcPr>
          <w:p w:rsidR="00EF3D40" w:rsidRPr="00310CD7" w:rsidRDefault="00EF3D40" w:rsidP="00EF3D40">
            <w:pPr>
              <w:autoSpaceDE w:val="0"/>
              <w:ind w:firstLine="623"/>
              <w:jc w:val="center"/>
              <w:rPr>
                <w:kern w:val="2"/>
                <w:lang w:eastAsia="ru-RU"/>
              </w:rPr>
            </w:pPr>
            <w:r w:rsidRPr="00310CD7">
              <w:rPr>
                <w:kern w:val="2"/>
                <w:lang w:eastAsia="ru-RU"/>
              </w:rPr>
              <w:t>Характеристика изделия</w:t>
            </w:r>
          </w:p>
        </w:tc>
        <w:tc>
          <w:tcPr>
            <w:tcW w:w="1098" w:type="dxa"/>
            <w:shd w:val="clear" w:color="auto" w:fill="auto"/>
          </w:tcPr>
          <w:p w:rsidR="00EF3D40" w:rsidRPr="00310CD7" w:rsidRDefault="00EF3D40" w:rsidP="00EF3D40">
            <w:pPr>
              <w:autoSpaceDE w:val="0"/>
              <w:jc w:val="center"/>
              <w:rPr>
                <w:kern w:val="2"/>
                <w:lang w:eastAsia="ru-RU"/>
              </w:rPr>
            </w:pPr>
            <w:r w:rsidRPr="00310CD7">
              <w:rPr>
                <w:kern w:val="2"/>
                <w:lang w:eastAsia="ru-RU"/>
              </w:rPr>
              <w:t>Количество (шт.)</w:t>
            </w:r>
          </w:p>
        </w:tc>
      </w:tr>
      <w:tr w:rsidR="00310CD7" w:rsidRPr="00310CD7" w:rsidTr="00BB0C46">
        <w:trPr>
          <w:trHeight w:val="603"/>
        </w:trPr>
        <w:tc>
          <w:tcPr>
            <w:tcW w:w="534" w:type="dxa"/>
            <w:shd w:val="clear" w:color="auto" w:fill="auto"/>
          </w:tcPr>
          <w:p w:rsidR="00310CD7" w:rsidRPr="00310CD7" w:rsidRDefault="00310CD7" w:rsidP="00EF3D40">
            <w:pPr>
              <w:autoSpaceDE w:val="0"/>
              <w:jc w:val="both"/>
              <w:rPr>
                <w:kern w:val="2"/>
                <w:lang w:eastAsia="ru-RU"/>
              </w:rPr>
            </w:pPr>
            <w:r w:rsidRPr="00310CD7">
              <w:rPr>
                <w:kern w:val="2"/>
                <w:lang w:eastAsia="ru-RU"/>
              </w:rPr>
              <w:t>1</w:t>
            </w:r>
          </w:p>
        </w:tc>
        <w:tc>
          <w:tcPr>
            <w:tcW w:w="2268" w:type="dxa"/>
            <w:shd w:val="clear" w:color="auto" w:fill="auto"/>
          </w:tcPr>
          <w:p w:rsidR="00310CD7" w:rsidRPr="00310CD7" w:rsidRDefault="00310CD7" w:rsidP="0027198A">
            <w:pPr>
              <w:pStyle w:val="a4"/>
              <w:jc w:val="center"/>
              <w:rPr>
                <w:rFonts w:ascii="Times New Roman" w:hAnsi="Times New Roman"/>
                <w:sz w:val="24"/>
                <w:szCs w:val="24"/>
              </w:rPr>
            </w:pPr>
            <w:r w:rsidRPr="00310CD7">
              <w:rPr>
                <w:rFonts w:ascii="Times New Roman" w:hAnsi="Times New Roman"/>
                <w:sz w:val="24"/>
                <w:szCs w:val="24"/>
              </w:rPr>
              <w:t>Протез после вычленения плеча с электромеханическим приводом и контактной системой управления</w:t>
            </w:r>
          </w:p>
          <w:p w:rsidR="00310CD7" w:rsidRPr="00310CD7" w:rsidRDefault="00310CD7" w:rsidP="0027198A">
            <w:pPr>
              <w:autoSpaceDE w:val="0"/>
              <w:jc w:val="both"/>
              <w:rPr>
                <w:kern w:val="2"/>
                <w:lang w:eastAsia="ru-RU"/>
              </w:rPr>
            </w:pPr>
          </w:p>
        </w:tc>
        <w:tc>
          <w:tcPr>
            <w:tcW w:w="6237" w:type="dxa"/>
            <w:shd w:val="clear" w:color="auto" w:fill="auto"/>
          </w:tcPr>
          <w:p w:rsidR="00310CD7" w:rsidRPr="00310CD7" w:rsidRDefault="00310CD7" w:rsidP="0027198A">
            <w:pPr>
              <w:pStyle w:val="a4"/>
              <w:ind w:firstLine="459"/>
              <w:jc w:val="both"/>
              <w:rPr>
                <w:rFonts w:ascii="Times New Roman" w:hAnsi="Times New Roman"/>
                <w:sz w:val="24"/>
                <w:szCs w:val="24"/>
              </w:rPr>
            </w:pPr>
            <w:r w:rsidRPr="00310CD7">
              <w:rPr>
                <w:rFonts w:ascii="Times New Roman" w:hAnsi="Times New Roman"/>
                <w:sz w:val="24"/>
                <w:szCs w:val="24"/>
              </w:rPr>
              <w:t xml:space="preserve">Протез после вычленения плеча с электромеханическим приводом и контактной системой управления, с приемной гильзой по слепку. </w:t>
            </w:r>
          </w:p>
          <w:p w:rsidR="00310CD7" w:rsidRPr="00310CD7" w:rsidRDefault="00310CD7" w:rsidP="0027198A">
            <w:pPr>
              <w:pStyle w:val="a4"/>
              <w:ind w:firstLine="459"/>
              <w:jc w:val="both"/>
              <w:rPr>
                <w:rFonts w:ascii="Times New Roman" w:hAnsi="Times New Roman"/>
                <w:sz w:val="24"/>
                <w:szCs w:val="24"/>
              </w:rPr>
            </w:pPr>
            <w:r w:rsidRPr="00310CD7">
              <w:rPr>
                <w:rFonts w:ascii="Times New Roman" w:hAnsi="Times New Roman"/>
                <w:sz w:val="24"/>
                <w:szCs w:val="24"/>
              </w:rPr>
              <w:t xml:space="preserve">Протез должен быть изготовлен по индивидуальному техпроцессу для сложного протезирования, примерочный наплечник должен быть из термопласта, постоянный — из слоистого пластика на основе акриловых смол и высокотемпературного силикона медицинского назначения с металлическими закладными элементами. </w:t>
            </w:r>
          </w:p>
          <w:p w:rsidR="00310CD7" w:rsidRPr="00310CD7" w:rsidRDefault="00310CD7" w:rsidP="0027198A">
            <w:pPr>
              <w:pStyle w:val="a4"/>
              <w:ind w:firstLine="459"/>
              <w:jc w:val="both"/>
              <w:rPr>
                <w:rFonts w:ascii="Times New Roman" w:hAnsi="Times New Roman"/>
                <w:sz w:val="24"/>
                <w:szCs w:val="24"/>
              </w:rPr>
            </w:pPr>
            <w:r w:rsidRPr="00310CD7">
              <w:rPr>
                <w:rFonts w:ascii="Times New Roman" w:hAnsi="Times New Roman"/>
                <w:sz w:val="24"/>
                <w:szCs w:val="24"/>
              </w:rPr>
              <w:t>Протез после</w:t>
            </w:r>
            <w:bookmarkStart w:id="0" w:name="_GoBack"/>
            <w:bookmarkEnd w:id="0"/>
            <w:r w:rsidRPr="00310CD7">
              <w:rPr>
                <w:rFonts w:ascii="Times New Roman" w:hAnsi="Times New Roman"/>
                <w:sz w:val="24"/>
                <w:szCs w:val="24"/>
              </w:rPr>
              <w:t xml:space="preserve"> вычленения плеча с электромеханическим приводом и контактной системой управления должен состоять из наплечника по слепку, комплекта узлов для протеза после вычленения плеча, несущей гильзы из композитных материалов на основе акриловых смол, индивидуального крепления, плечевого модуля, локтевого модуля, системной </w:t>
            </w:r>
            <w:proofErr w:type="spellStart"/>
            <w:r w:rsidRPr="00310CD7">
              <w:rPr>
                <w:rFonts w:ascii="Times New Roman" w:hAnsi="Times New Roman"/>
                <w:sz w:val="24"/>
                <w:szCs w:val="24"/>
              </w:rPr>
              <w:t>электрокисти</w:t>
            </w:r>
            <w:proofErr w:type="spellEnd"/>
            <w:r w:rsidRPr="00310CD7">
              <w:rPr>
                <w:rFonts w:ascii="Times New Roman" w:hAnsi="Times New Roman"/>
                <w:sz w:val="24"/>
                <w:szCs w:val="24"/>
              </w:rPr>
              <w:t xml:space="preserve">, </w:t>
            </w:r>
            <w:r w:rsidRPr="00310CD7">
              <w:rPr>
                <w:rFonts w:ascii="Times New Roman" w:hAnsi="Times New Roman"/>
                <w:sz w:val="24"/>
                <w:szCs w:val="24"/>
              </w:rPr>
              <w:lastRenderedPageBreak/>
              <w:t xml:space="preserve">системы управления и электропитания. </w:t>
            </w:r>
          </w:p>
          <w:p w:rsidR="00310CD7" w:rsidRPr="00310CD7" w:rsidRDefault="00310CD7" w:rsidP="0027198A">
            <w:pPr>
              <w:pStyle w:val="a4"/>
              <w:ind w:firstLine="459"/>
              <w:jc w:val="both"/>
              <w:rPr>
                <w:rFonts w:ascii="Times New Roman" w:hAnsi="Times New Roman"/>
                <w:sz w:val="24"/>
                <w:szCs w:val="24"/>
              </w:rPr>
            </w:pPr>
            <w:r w:rsidRPr="00310CD7">
              <w:rPr>
                <w:rFonts w:ascii="Times New Roman" w:hAnsi="Times New Roman"/>
                <w:sz w:val="24"/>
                <w:szCs w:val="24"/>
              </w:rPr>
              <w:t xml:space="preserve">Плечевой модуль должен представлять собой искусственный плечевой сустав, который может работать в режиме свободного качания и плечевого замка. В стандартной настройке замок управляется с помощью ручки на самом плечевом суставе. </w:t>
            </w:r>
          </w:p>
          <w:p w:rsidR="00310CD7" w:rsidRPr="00310CD7" w:rsidRDefault="00310CD7" w:rsidP="0027198A">
            <w:pPr>
              <w:pStyle w:val="a4"/>
              <w:ind w:firstLine="459"/>
              <w:jc w:val="both"/>
              <w:rPr>
                <w:rFonts w:ascii="Times New Roman" w:hAnsi="Times New Roman"/>
                <w:sz w:val="24"/>
                <w:szCs w:val="24"/>
              </w:rPr>
            </w:pPr>
            <w:r w:rsidRPr="00310CD7">
              <w:rPr>
                <w:rFonts w:ascii="Times New Roman" w:hAnsi="Times New Roman"/>
                <w:sz w:val="24"/>
                <w:szCs w:val="24"/>
              </w:rPr>
              <w:t xml:space="preserve">Плечевой шарнир должен быть прикреплен к наплечнику и несущей гильзе плеча. </w:t>
            </w:r>
          </w:p>
          <w:p w:rsidR="00310CD7" w:rsidRPr="00310CD7" w:rsidRDefault="00310CD7" w:rsidP="0027198A">
            <w:pPr>
              <w:pStyle w:val="a4"/>
              <w:ind w:firstLine="459"/>
              <w:jc w:val="both"/>
              <w:rPr>
                <w:rFonts w:ascii="Times New Roman" w:hAnsi="Times New Roman"/>
                <w:sz w:val="24"/>
                <w:szCs w:val="24"/>
              </w:rPr>
            </w:pPr>
            <w:r w:rsidRPr="00310CD7">
              <w:rPr>
                <w:rFonts w:ascii="Times New Roman" w:hAnsi="Times New Roman"/>
                <w:sz w:val="24"/>
                <w:szCs w:val="24"/>
              </w:rPr>
              <w:t xml:space="preserve">Пассивный локтевой модуль с электронным фиксатором должен быть присоединен к несущей гильзе плеча с возможностью ротации. Локтевой модуль должен быть присоединен к несущей гильзе плеча с возможностью ротации. Локтевой модуль должен быть со сквозным </w:t>
            </w:r>
            <w:proofErr w:type="spellStart"/>
            <w:r w:rsidRPr="00310CD7">
              <w:rPr>
                <w:rFonts w:ascii="Times New Roman" w:hAnsi="Times New Roman"/>
                <w:sz w:val="24"/>
                <w:szCs w:val="24"/>
              </w:rPr>
              <w:t>электросоединением</w:t>
            </w:r>
            <w:proofErr w:type="spellEnd"/>
            <w:r w:rsidRPr="00310CD7">
              <w:rPr>
                <w:rFonts w:ascii="Times New Roman" w:hAnsi="Times New Roman"/>
                <w:sz w:val="24"/>
                <w:szCs w:val="24"/>
              </w:rPr>
              <w:t xml:space="preserve"> и усилителем сгибания (А</w:t>
            </w:r>
            <w:proofErr w:type="gramStart"/>
            <w:r w:rsidRPr="00310CD7">
              <w:rPr>
                <w:rFonts w:ascii="Times New Roman" w:hAnsi="Times New Roman"/>
                <w:sz w:val="24"/>
                <w:szCs w:val="24"/>
                <w:lang w:val="en-US"/>
              </w:rPr>
              <w:t>F</w:t>
            </w:r>
            <w:proofErr w:type="gramEnd"/>
            <w:r w:rsidRPr="00310CD7">
              <w:rPr>
                <w:rFonts w:ascii="Times New Roman" w:hAnsi="Times New Roman"/>
                <w:sz w:val="24"/>
                <w:szCs w:val="24"/>
              </w:rPr>
              <w:t xml:space="preserve">В) для биоэлектрических гибридных протезов, с внутренним фиксатором, усилителем сгибания и шарнирным соединением с плечом, с регулируемой силой трения. Кабели электродов и кабель соединения с аккумулятором должны проходить внутри несущей гильзы и вставляться в гнезда локтевого шара, и затем соединяться с коаксиальным штекером </w:t>
            </w:r>
            <w:proofErr w:type="spellStart"/>
            <w:r w:rsidRPr="00310CD7">
              <w:rPr>
                <w:rFonts w:ascii="Times New Roman" w:hAnsi="Times New Roman"/>
                <w:sz w:val="24"/>
                <w:szCs w:val="24"/>
              </w:rPr>
              <w:t>электрокисти</w:t>
            </w:r>
            <w:proofErr w:type="spellEnd"/>
            <w:r w:rsidRPr="00310CD7">
              <w:rPr>
                <w:rFonts w:ascii="Times New Roman" w:hAnsi="Times New Roman"/>
                <w:sz w:val="24"/>
                <w:szCs w:val="24"/>
              </w:rPr>
              <w:t xml:space="preserve">. </w:t>
            </w:r>
          </w:p>
          <w:p w:rsidR="00310CD7" w:rsidRPr="00310CD7" w:rsidRDefault="00310CD7" w:rsidP="0027198A">
            <w:pPr>
              <w:pStyle w:val="a4"/>
              <w:ind w:firstLine="459"/>
              <w:jc w:val="both"/>
              <w:rPr>
                <w:rFonts w:ascii="Times New Roman" w:hAnsi="Times New Roman"/>
                <w:sz w:val="24"/>
                <w:szCs w:val="24"/>
              </w:rPr>
            </w:pPr>
            <w:r w:rsidRPr="00310CD7">
              <w:rPr>
                <w:rFonts w:ascii="Times New Roman" w:hAnsi="Times New Roman"/>
                <w:sz w:val="24"/>
                <w:szCs w:val="24"/>
              </w:rPr>
              <w:t xml:space="preserve">Электродвигатель должен приводить в движение средний и указательный, а также большой пальцы. В качестве источника энергии должен служить заряжаемый литиево-ионный аккумулятор. Литиево-ионный аккумулятор должен быть присоединен к несущей гильзе. Протез должен быть в комплекте с косметической оболочкой из силикона. </w:t>
            </w:r>
          </w:p>
          <w:p w:rsidR="00310CD7" w:rsidRPr="00310CD7" w:rsidRDefault="00310CD7" w:rsidP="0027198A">
            <w:pPr>
              <w:autoSpaceDE w:val="0"/>
              <w:ind w:firstLine="623"/>
              <w:jc w:val="both"/>
            </w:pPr>
            <w:r w:rsidRPr="00310CD7">
              <w:t xml:space="preserve">Технические характеристики литиево-ионного аккумулятора должны быть: емкость 900 </w:t>
            </w:r>
            <w:proofErr w:type="spellStart"/>
            <w:r w:rsidRPr="00310CD7">
              <w:t>мАч</w:t>
            </w:r>
            <w:proofErr w:type="spellEnd"/>
            <w:r w:rsidRPr="00310CD7">
              <w:t xml:space="preserve">, время до полной зарядки 3,5 часа. </w:t>
            </w:r>
          </w:p>
        </w:tc>
        <w:tc>
          <w:tcPr>
            <w:tcW w:w="1098" w:type="dxa"/>
            <w:shd w:val="clear" w:color="auto" w:fill="auto"/>
          </w:tcPr>
          <w:p w:rsidR="00310CD7" w:rsidRPr="00310CD7" w:rsidRDefault="00310CD7" w:rsidP="0027198A">
            <w:pPr>
              <w:autoSpaceDE w:val="0"/>
              <w:jc w:val="center"/>
              <w:rPr>
                <w:kern w:val="2"/>
                <w:lang w:eastAsia="ru-RU"/>
              </w:rPr>
            </w:pPr>
            <w:r w:rsidRPr="00310CD7">
              <w:rPr>
                <w:kern w:val="2"/>
                <w:lang w:eastAsia="ru-RU"/>
              </w:rPr>
              <w:lastRenderedPageBreak/>
              <w:t>1</w:t>
            </w:r>
          </w:p>
        </w:tc>
      </w:tr>
      <w:tr w:rsidR="00310CD7" w:rsidRPr="00310CD7" w:rsidTr="00EF3D40">
        <w:trPr>
          <w:trHeight w:val="603"/>
        </w:trPr>
        <w:tc>
          <w:tcPr>
            <w:tcW w:w="10137" w:type="dxa"/>
            <w:gridSpan w:val="4"/>
            <w:shd w:val="clear" w:color="auto" w:fill="auto"/>
          </w:tcPr>
          <w:p w:rsidR="00310CD7" w:rsidRPr="00310CD7" w:rsidRDefault="00310CD7" w:rsidP="00310CD7">
            <w:pPr>
              <w:autoSpaceDE w:val="0"/>
              <w:jc w:val="both"/>
              <w:rPr>
                <w:rFonts w:eastAsia="Arial"/>
                <w:color w:val="000000"/>
                <w:kern w:val="2"/>
              </w:rPr>
            </w:pPr>
            <w:r w:rsidRPr="00310CD7">
              <w:rPr>
                <w:rFonts w:eastAsia="Arial"/>
                <w:color w:val="000000"/>
                <w:kern w:val="2"/>
              </w:rPr>
              <w:lastRenderedPageBreak/>
              <w:t xml:space="preserve">Качество изготавливаемого Изделия должно соответствовать государственным стандартам (ГОСТ), действующим на территории Российской Федерации, в том числе: </w:t>
            </w:r>
          </w:p>
          <w:p w:rsidR="00310CD7" w:rsidRPr="00310CD7" w:rsidRDefault="00310CD7" w:rsidP="00310CD7">
            <w:pPr>
              <w:autoSpaceDE w:val="0"/>
              <w:jc w:val="both"/>
              <w:rPr>
                <w:rFonts w:eastAsia="Arial"/>
                <w:color w:val="000000"/>
                <w:kern w:val="2"/>
              </w:rPr>
            </w:pPr>
            <w:r w:rsidRPr="00310CD7">
              <w:rPr>
                <w:rFonts w:eastAsia="Arial"/>
                <w:color w:val="000000"/>
                <w:kern w:val="2"/>
              </w:rPr>
              <w:t>-ГОСТ ISO 10993-1-2021 «Изделия медицинские. Оценка биологического действия медицинских изделий. Часть 1. Оценка и исследования в процессе менеджмента риска»;</w:t>
            </w:r>
          </w:p>
          <w:p w:rsidR="00310CD7" w:rsidRPr="00310CD7" w:rsidRDefault="00310CD7" w:rsidP="00310CD7">
            <w:pPr>
              <w:autoSpaceDE w:val="0"/>
              <w:jc w:val="both"/>
              <w:rPr>
                <w:rFonts w:eastAsia="Arial"/>
                <w:color w:val="000000"/>
                <w:kern w:val="2"/>
              </w:rPr>
            </w:pPr>
            <w:r w:rsidRPr="00310CD7">
              <w:rPr>
                <w:rFonts w:eastAsia="Arial"/>
                <w:color w:val="000000"/>
                <w:kern w:val="2"/>
              </w:rPr>
              <w:t xml:space="preserve">-ГОСТ ISO 10993-5-2011 «Изделия медицинские. Оценка биологического действия медицинских изделий. Часть 5. Исследования на </w:t>
            </w:r>
            <w:proofErr w:type="spellStart"/>
            <w:r w:rsidRPr="00310CD7">
              <w:rPr>
                <w:rFonts w:eastAsia="Arial"/>
                <w:color w:val="000000"/>
                <w:kern w:val="2"/>
              </w:rPr>
              <w:t>цитотоксичность</w:t>
            </w:r>
            <w:proofErr w:type="spellEnd"/>
            <w:r w:rsidRPr="00310CD7">
              <w:rPr>
                <w:rFonts w:eastAsia="Arial"/>
                <w:color w:val="000000"/>
                <w:kern w:val="2"/>
              </w:rPr>
              <w:t xml:space="preserve">: методы </w:t>
            </w:r>
            <w:proofErr w:type="spellStart"/>
            <w:r w:rsidRPr="00310CD7">
              <w:rPr>
                <w:rFonts w:eastAsia="Arial"/>
                <w:color w:val="000000"/>
                <w:kern w:val="2"/>
              </w:rPr>
              <w:t>in</w:t>
            </w:r>
            <w:proofErr w:type="spellEnd"/>
            <w:r w:rsidRPr="00310CD7">
              <w:rPr>
                <w:rFonts w:eastAsia="Arial"/>
                <w:color w:val="000000"/>
                <w:kern w:val="2"/>
              </w:rPr>
              <w:t xml:space="preserve"> </w:t>
            </w:r>
            <w:proofErr w:type="spellStart"/>
            <w:r w:rsidRPr="00310CD7">
              <w:rPr>
                <w:rFonts w:eastAsia="Arial"/>
                <w:color w:val="000000"/>
                <w:kern w:val="2"/>
              </w:rPr>
              <w:t>vitro</w:t>
            </w:r>
            <w:proofErr w:type="spellEnd"/>
            <w:r w:rsidRPr="00310CD7">
              <w:rPr>
                <w:rFonts w:eastAsia="Arial"/>
                <w:color w:val="000000"/>
                <w:kern w:val="2"/>
              </w:rPr>
              <w:t>»;</w:t>
            </w:r>
          </w:p>
          <w:p w:rsidR="00310CD7" w:rsidRPr="00310CD7" w:rsidRDefault="00310CD7" w:rsidP="00310CD7">
            <w:pPr>
              <w:autoSpaceDE w:val="0"/>
              <w:jc w:val="both"/>
              <w:rPr>
                <w:rFonts w:eastAsia="Arial"/>
                <w:color w:val="000000"/>
                <w:kern w:val="2"/>
              </w:rPr>
            </w:pPr>
            <w:r w:rsidRPr="00310CD7">
              <w:rPr>
                <w:rFonts w:eastAsia="Arial"/>
                <w:color w:val="000000"/>
                <w:kern w:val="2"/>
              </w:rPr>
              <w:t xml:space="preserve">-ГОСТ ISO 10993-10-2011 «Изделия медицинские. Оценка биологического действия медицинских изделий. Часть 10. Исследование раздражающего и сенсибилизирующего действия»; </w:t>
            </w:r>
          </w:p>
          <w:p w:rsidR="00310CD7" w:rsidRPr="00310CD7" w:rsidRDefault="00310CD7" w:rsidP="00310CD7">
            <w:pPr>
              <w:autoSpaceDE w:val="0"/>
              <w:jc w:val="both"/>
              <w:rPr>
                <w:rFonts w:eastAsia="Arial"/>
                <w:color w:val="000000"/>
                <w:kern w:val="2"/>
              </w:rPr>
            </w:pPr>
            <w:r w:rsidRPr="00310CD7">
              <w:rPr>
                <w:rFonts w:eastAsia="Arial"/>
                <w:color w:val="000000"/>
                <w:kern w:val="2"/>
              </w:rPr>
              <w:t xml:space="preserve">-ГОСТ </w:t>
            </w:r>
            <w:proofErr w:type="gramStart"/>
            <w:r w:rsidRPr="00310CD7">
              <w:rPr>
                <w:rFonts w:eastAsia="Arial"/>
                <w:color w:val="000000"/>
                <w:kern w:val="2"/>
              </w:rPr>
              <w:t>Р</w:t>
            </w:r>
            <w:proofErr w:type="gramEnd"/>
            <w:r w:rsidRPr="00310CD7">
              <w:rPr>
                <w:rFonts w:eastAsia="Arial"/>
                <w:color w:val="000000"/>
                <w:kern w:val="2"/>
              </w:rPr>
              <w:t xml:space="preserve"> 51632-2021 «Технические средства реабилитации людей с ограничениями жизнедеятельности. Общие технические требования и методы испытаний»;</w:t>
            </w:r>
          </w:p>
          <w:p w:rsidR="00310CD7" w:rsidRPr="00310CD7" w:rsidRDefault="00310CD7" w:rsidP="00310CD7">
            <w:pPr>
              <w:autoSpaceDE w:val="0"/>
              <w:jc w:val="both"/>
              <w:rPr>
                <w:rFonts w:eastAsia="Arial"/>
                <w:color w:val="000000"/>
                <w:kern w:val="2"/>
              </w:rPr>
            </w:pPr>
            <w:r w:rsidRPr="00310CD7">
              <w:rPr>
                <w:rFonts w:eastAsia="Arial"/>
                <w:color w:val="000000"/>
                <w:kern w:val="2"/>
              </w:rPr>
              <w:t xml:space="preserve">-ГОСТ </w:t>
            </w:r>
            <w:proofErr w:type="gramStart"/>
            <w:r w:rsidRPr="00310CD7">
              <w:rPr>
                <w:rFonts w:eastAsia="Arial"/>
                <w:color w:val="000000"/>
                <w:kern w:val="2"/>
              </w:rPr>
              <w:t>Р</w:t>
            </w:r>
            <w:proofErr w:type="gramEnd"/>
            <w:r w:rsidRPr="00310CD7">
              <w:rPr>
                <w:rFonts w:eastAsia="Arial"/>
                <w:color w:val="000000"/>
                <w:kern w:val="2"/>
              </w:rPr>
              <w:t xml:space="preserve"> ИСО 22523-2007 «Протезы конечностей и </w:t>
            </w:r>
            <w:proofErr w:type="spellStart"/>
            <w:r w:rsidRPr="00310CD7">
              <w:rPr>
                <w:rFonts w:eastAsia="Arial"/>
                <w:color w:val="000000"/>
                <w:kern w:val="2"/>
              </w:rPr>
              <w:t>ортезы</w:t>
            </w:r>
            <w:proofErr w:type="spellEnd"/>
            <w:r w:rsidRPr="00310CD7">
              <w:rPr>
                <w:rFonts w:eastAsia="Arial"/>
                <w:color w:val="000000"/>
                <w:kern w:val="2"/>
              </w:rPr>
              <w:t xml:space="preserve"> наружные. Требования и методы испытаний».</w:t>
            </w:r>
          </w:p>
        </w:tc>
      </w:tr>
    </w:tbl>
    <w:p w:rsidR="001E3865" w:rsidRDefault="001E3865"/>
    <w:sectPr w:rsidR="001E38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2DF"/>
    <w:rsid w:val="000B5761"/>
    <w:rsid w:val="0015224B"/>
    <w:rsid w:val="001E3865"/>
    <w:rsid w:val="002962DF"/>
    <w:rsid w:val="002B3CA2"/>
    <w:rsid w:val="002E3B0A"/>
    <w:rsid w:val="00310851"/>
    <w:rsid w:val="00310CD7"/>
    <w:rsid w:val="0038502C"/>
    <w:rsid w:val="00611DDC"/>
    <w:rsid w:val="00983A67"/>
    <w:rsid w:val="009C0A1A"/>
    <w:rsid w:val="00C174F9"/>
    <w:rsid w:val="00C86DF3"/>
    <w:rsid w:val="00D03064"/>
    <w:rsid w:val="00D24CB2"/>
    <w:rsid w:val="00E32CB5"/>
    <w:rsid w:val="00E37329"/>
    <w:rsid w:val="00EF3D40"/>
    <w:rsid w:val="00F246BB"/>
    <w:rsid w:val="00FB606B"/>
    <w:rsid w:val="00FF4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DF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E32CB5"/>
    <w:pPr>
      <w:widowControl w:val="0"/>
      <w:suppressAutoHyphens/>
      <w:autoSpaceDE w:val="0"/>
      <w:spacing w:after="0" w:line="240" w:lineRule="auto"/>
      <w:ind w:firstLine="720"/>
    </w:pPr>
    <w:rPr>
      <w:rFonts w:ascii="Arial" w:eastAsia="Arial" w:hAnsi="Arial" w:cs="Times New Roman"/>
      <w:sz w:val="20"/>
      <w:szCs w:val="20"/>
    </w:rPr>
  </w:style>
  <w:style w:type="character" w:customStyle="1" w:styleId="ConsPlusNormal0">
    <w:name w:val="ConsPlusNormal Знак"/>
    <w:link w:val="ConsPlusNormal"/>
    <w:locked/>
    <w:rsid w:val="00E32CB5"/>
    <w:rPr>
      <w:rFonts w:ascii="Arial" w:eastAsia="Arial" w:hAnsi="Arial" w:cs="Times New Roman"/>
      <w:sz w:val="20"/>
      <w:szCs w:val="20"/>
    </w:rPr>
  </w:style>
  <w:style w:type="character" w:styleId="a3">
    <w:name w:val="Strong"/>
    <w:uiPriority w:val="22"/>
    <w:qFormat/>
    <w:rsid w:val="00E37329"/>
    <w:rPr>
      <w:b/>
      <w:bCs/>
    </w:rPr>
  </w:style>
  <w:style w:type="paragraph" w:styleId="a4">
    <w:name w:val="Plain Text"/>
    <w:basedOn w:val="a"/>
    <w:link w:val="a5"/>
    <w:uiPriority w:val="99"/>
    <w:unhideWhenUsed/>
    <w:rsid w:val="00310CD7"/>
    <w:pPr>
      <w:suppressAutoHyphens w:val="0"/>
    </w:pPr>
    <w:rPr>
      <w:rFonts w:ascii="Calibri" w:eastAsia="Calibri" w:hAnsi="Calibri"/>
      <w:sz w:val="22"/>
      <w:szCs w:val="21"/>
      <w:lang w:eastAsia="en-US"/>
    </w:rPr>
  </w:style>
  <w:style w:type="character" w:customStyle="1" w:styleId="a5">
    <w:name w:val="Текст Знак"/>
    <w:basedOn w:val="a0"/>
    <w:link w:val="a4"/>
    <w:uiPriority w:val="99"/>
    <w:rsid w:val="00310CD7"/>
    <w:rPr>
      <w:rFonts w:ascii="Calibri" w:eastAsia="Calibri"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DF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E32CB5"/>
    <w:pPr>
      <w:widowControl w:val="0"/>
      <w:suppressAutoHyphens/>
      <w:autoSpaceDE w:val="0"/>
      <w:spacing w:after="0" w:line="240" w:lineRule="auto"/>
      <w:ind w:firstLine="720"/>
    </w:pPr>
    <w:rPr>
      <w:rFonts w:ascii="Arial" w:eastAsia="Arial" w:hAnsi="Arial" w:cs="Times New Roman"/>
      <w:sz w:val="20"/>
      <w:szCs w:val="20"/>
    </w:rPr>
  </w:style>
  <w:style w:type="character" w:customStyle="1" w:styleId="ConsPlusNormal0">
    <w:name w:val="ConsPlusNormal Знак"/>
    <w:link w:val="ConsPlusNormal"/>
    <w:locked/>
    <w:rsid w:val="00E32CB5"/>
    <w:rPr>
      <w:rFonts w:ascii="Arial" w:eastAsia="Arial" w:hAnsi="Arial" w:cs="Times New Roman"/>
      <w:sz w:val="20"/>
      <w:szCs w:val="20"/>
    </w:rPr>
  </w:style>
  <w:style w:type="character" w:styleId="a3">
    <w:name w:val="Strong"/>
    <w:uiPriority w:val="22"/>
    <w:qFormat/>
    <w:rsid w:val="00E37329"/>
    <w:rPr>
      <w:b/>
      <w:bCs/>
    </w:rPr>
  </w:style>
  <w:style w:type="paragraph" w:styleId="a4">
    <w:name w:val="Plain Text"/>
    <w:basedOn w:val="a"/>
    <w:link w:val="a5"/>
    <w:uiPriority w:val="99"/>
    <w:unhideWhenUsed/>
    <w:rsid w:val="00310CD7"/>
    <w:pPr>
      <w:suppressAutoHyphens w:val="0"/>
    </w:pPr>
    <w:rPr>
      <w:rFonts w:ascii="Calibri" w:eastAsia="Calibri" w:hAnsi="Calibri"/>
      <w:sz w:val="22"/>
      <w:szCs w:val="21"/>
      <w:lang w:eastAsia="en-US"/>
    </w:rPr>
  </w:style>
  <w:style w:type="character" w:customStyle="1" w:styleId="a5">
    <w:name w:val="Текст Знак"/>
    <w:basedOn w:val="a0"/>
    <w:link w:val="a4"/>
    <w:uiPriority w:val="99"/>
    <w:rsid w:val="00310CD7"/>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792</Words>
  <Characters>4521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Стрельникова Наталья Леонидовна</dc:creator>
  <cp:lastModifiedBy>Андрианова Юлия Игоревна</cp:lastModifiedBy>
  <cp:revision>12</cp:revision>
  <dcterms:created xsi:type="dcterms:W3CDTF">2023-02-09T14:41:00Z</dcterms:created>
  <dcterms:modified xsi:type="dcterms:W3CDTF">2023-11-02T09:31:00Z</dcterms:modified>
</cp:coreProperties>
</file>