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AB2768" w:rsidRPr="00AB2768" w:rsidRDefault="00AB2768" w:rsidP="00AB27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i/>
          <w:kern w:val="0"/>
        </w:rPr>
      </w:pPr>
      <w:r w:rsidRPr="00AB2768">
        <w:rPr>
          <w:rFonts w:eastAsia="Times New Roman" w:cs="Times New Roman"/>
          <w:b/>
          <w:kern w:val="0"/>
        </w:rPr>
        <w:t>Наименование и описание объекта электронного аукциона:</w:t>
      </w:r>
      <w:r w:rsidRPr="00AB2768">
        <w:rPr>
          <w:rFonts w:eastAsia="Times New Roman" w:cs="Times New Roman"/>
          <w:kern w:val="0"/>
        </w:rPr>
        <w:t xml:space="preserve"> </w:t>
      </w:r>
      <w:r w:rsidRPr="00AB2768">
        <w:rPr>
          <w:rFonts w:eastAsia="Times New Roman" w:cs="Times New Roman"/>
          <w:b/>
          <w:i/>
          <w:kern w:val="0"/>
        </w:rPr>
        <w:t xml:space="preserve">№ </w:t>
      </w:r>
      <w:r w:rsidR="002160B4">
        <w:rPr>
          <w:rFonts w:eastAsia="Times New Roman" w:cs="Times New Roman"/>
          <w:b/>
          <w:i/>
          <w:kern w:val="0"/>
        </w:rPr>
        <w:t>237</w:t>
      </w:r>
      <w:r w:rsidRPr="00AB2768">
        <w:rPr>
          <w:rFonts w:eastAsia="Times New Roman" w:cs="Times New Roman"/>
          <w:b/>
          <w:i/>
          <w:kern w:val="0"/>
        </w:rPr>
        <w:t>. Выполнение работ по обеспечению инвалид</w:t>
      </w:r>
      <w:r w:rsidR="00B17ADA">
        <w:rPr>
          <w:rFonts w:eastAsia="Times New Roman" w:cs="Times New Roman"/>
          <w:b/>
          <w:i/>
          <w:kern w:val="0"/>
        </w:rPr>
        <w:t>а</w:t>
      </w:r>
      <w:r w:rsidRPr="00AB2768">
        <w:rPr>
          <w:rFonts w:eastAsia="Times New Roman" w:cs="Times New Roman"/>
          <w:b/>
          <w:i/>
          <w:kern w:val="0"/>
        </w:rPr>
        <w:t xml:space="preserve"> протез</w:t>
      </w:r>
      <w:r w:rsidR="00B17ADA">
        <w:rPr>
          <w:rFonts w:eastAsia="Times New Roman" w:cs="Times New Roman"/>
          <w:b/>
          <w:i/>
          <w:kern w:val="0"/>
        </w:rPr>
        <w:t>ом</w:t>
      </w:r>
      <w:r w:rsidRPr="00AB2768">
        <w:rPr>
          <w:rFonts w:eastAsia="Times New Roman" w:cs="Times New Roman"/>
          <w:b/>
          <w:i/>
          <w:kern w:val="0"/>
        </w:rPr>
        <w:t xml:space="preserve"> </w:t>
      </w:r>
      <w:r w:rsidR="00B17ADA">
        <w:rPr>
          <w:rFonts w:eastAsia="Times New Roman" w:cs="Times New Roman"/>
          <w:b/>
          <w:i/>
          <w:kern w:val="0"/>
        </w:rPr>
        <w:t>верхней</w:t>
      </w:r>
      <w:r w:rsidRPr="00AB2768">
        <w:rPr>
          <w:rFonts w:eastAsia="Times New Roman" w:cs="Times New Roman"/>
          <w:b/>
          <w:i/>
          <w:kern w:val="0"/>
        </w:rPr>
        <w:t xml:space="preserve"> конечност</w:t>
      </w:r>
      <w:r w:rsidR="00B17ADA">
        <w:rPr>
          <w:rFonts w:eastAsia="Times New Roman" w:cs="Times New Roman"/>
          <w:b/>
          <w:i/>
          <w:kern w:val="0"/>
        </w:rPr>
        <w:t>и</w:t>
      </w:r>
      <w:r w:rsidRPr="00AB2768">
        <w:rPr>
          <w:rFonts w:eastAsia="Times New Roman" w:cs="Times New Roman"/>
          <w:b/>
          <w:i/>
          <w:kern w:val="0"/>
        </w:rPr>
        <w:t xml:space="preserve"> в 2022 году.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968"/>
        <w:gridCol w:w="6945"/>
        <w:gridCol w:w="993"/>
      </w:tblGrid>
      <w:tr w:rsidR="00AB2768" w:rsidRPr="00AB2768" w:rsidTr="00B17ADA">
        <w:tc>
          <w:tcPr>
            <w:tcW w:w="585" w:type="dxa"/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п/п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Наименование работ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Описание функциональных и технических характеристик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Объем</w:t>
            </w:r>
            <w:r w:rsidRPr="00AB2768">
              <w:rPr>
                <w:rFonts w:eastAsia="Times New Roman" w:cs="Times New Roman"/>
                <w:b/>
                <w:kern w:val="0"/>
              </w:rPr>
              <w:t>, шт.</w:t>
            </w:r>
          </w:p>
        </w:tc>
      </w:tr>
      <w:tr w:rsidR="00AB2768" w:rsidRPr="00AB2768" w:rsidTr="00B17ADA">
        <w:trPr>
          <w:trHeight w:val="1978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DA" w:rsidRDefault="00B17ADA" w:rsidP="00B17ADA">
            <w:pPr>
              <w:jc w:val="center"/>
            </w:pPr>
            <w:r>
              <w:t>8-04-01</w:t>
            </w:r>
          </w:p>
          <w:p w:rsidR="00AB2768" w:rsidRPr="00AB2768" w:rsidRDefault="00B17ADA" w:rsidP="00B17A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t xml:space="preserve">Протез кисти с микропроцессорным управлением, в том числе при вычленении и частичном вычленении кисти  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DA" w:rsidRPr="00B17ADA" w:rsidRDefault="00B17ADA" w:rsidP="00B17ADA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Протез кисти с микропроцессорным управлением, в том числе при вычленении и частичном вычленении кисти (протез кисти с внешним источником энергии) должен иметь следующие характеристики. Постоянный. </w:t>
            </w:r>
          </w:p>
          <w:p w:rsidR="00B17ADA" w:rsidRPr="00B17ADA" w:rsidRDefault="00B17ADA" w:rsidP="00B17ADA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Протез предназначен для компенсации врожденных и ампутационных дефектов пальцев. </w:t>
            </w:r>
          </w:p>
          <w:p w:rsidR="00AB2768" w:rsidRPr="00AB2768" w:rsidRDefault="00B17ADA" w:rsidP="00A45AB5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Протез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должен состоя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т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из трех основных частей: приемной гильзы с интегрированной системой управления, системы питания на браслете, и непосредственно модулей пальцев, установленных на несущей гильзе. Привод модуля пальца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должен быть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электромеханический. Протез должен облада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возможностью переключения от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миосигналов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, а также по переключателю, на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не менее чем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30 различных видов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схвата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, которые пользователь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сможет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программир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овать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самостоятельно через мобильное приложение, подключенное к протезу.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Д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олжен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и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ме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 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5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преднастроенных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жестов. Внешний вид: должен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иметь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возможность создания различных по форме и цвету вариантов модуля кисти, чтобы выразить индивидуальность и дополнить стиль пользователя. Ладонь и кончики пальцев долж</w:t>
            </w:r>
            <w:r w:rsidR="00A45AB5">
              <w:rPr>
                <w:rFonts w:eastAsia="SimSun"/>
                <w:sz w:val="20"/>
                <w:szCs w:val="20"/>
                <w:lang w:eastAsia="zh-CN" w:bidi="hi-IN"/>
              </w:rPr>
              <w:t>ны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быть оснащены противоскользящими силиконовыми накладками. Управление: Управление протезом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н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происходит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за счет регистрации на поверхности кожи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электромиографического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сигнала посредством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миодатчиков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схвата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должно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осуществля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ся пропорционально силе напряжения мышц культи, это позволяет брать хрупкие предметы, не боясь сломать их. Управление протезом</w:t>
            </w:r>
            <w:r>
              <w:t xml:space="preserve">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A45AB5">
              <w:rPr>
                <w:rFonts w:eastAsia="SimSun"/>
                <w:sz w:val="20"/>
                <w:szCs w:val="20"/>
                <w:lang w:eastAsia="zh-CN" w:bidi="hi-IN"/>
              </w:rPr>
              <w:t>но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быть одно/двухканальное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.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Питание: В качестве источника энергии должен служит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заряжаемый, несъемный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литийионный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аккумулятор с защитой от перезаряда. Зарядка долж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на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со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стандартны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м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разъем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ом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USB-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Type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C.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Д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олж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на и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ме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ся светодиодная индикация статуса батареи. Внешняя гильза: Внешняя гильза</w:t>
            </w:r>
            <w:r>
              <w:t xml:space="preserve">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на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быть изготовлена по индивидуальному гипсовому слепку методом вакуумной 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инфузии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из слоистых композиционных материалов на основе акриловых смол с угле- и стекловолоконным наполнением. Приемная гильза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изготавлива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ся из мягких смол (</w:t>
            </w:r>
            <w:proofErr w:type="spellStart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термолин</w:t>
            </w:r>
            <w:proofErr w:type="spellEnd"/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) или силикона. Удержание протеза на культе</w:t>
            </w:r>
            <w:r w:rsidR="008C19B3">
              <w:t xml:space="preserve"> 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 xml:space="preserve">но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происходит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за счет мягких тканей и формы культи.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Д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>олж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на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 xml:space="preserve"> быть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п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редусмотрена возможность индивидуального изготовления с применением 3D сканирования. Комплект поставки 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 xml:space="preserve">должен 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>включа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: Модули пальцев 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ны</w:t>
            </w:r>
            <w:r w:rsidR="008C19B3" w:rsidRPr="008C19B3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от 1 до 5 шт.; Модуль пассивной ротации большого пальца; Система питания, включающая 1 аккумулятор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1 шт.; Система управления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 xml:space="preserve"> 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1 шт.; Зарядное устройство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1 шт.; Средство по уходу за кожей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1 шт.; Руководство по эксплуатации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не менее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1 шт.; Протез</w:t>
            </w:r>
            <w:r w:rsidR="008C19B3">
              <w:t xml:space="preserve"> 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должен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име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17ADA">
              <w:rPr>
                <w:rFonts w:eastAsia="SimSun"/>
                <w:sz w:val="20"/>
                <w:szCs w:val="20"/>
                <w:lang w:eastAsia="zh-CN" w:bidi="hi-IN"/>
              </w:rPr>
              <w:t xml:space="preserve"> возможность комплектоватьс</w:t>
            </w:r>
            <w:r w:rsidR="008C19B3">
              <w:rPr>
                <w:rFonts w:eastAsia="SimSun"/>
                <w:sz w:val="20"/>
                <w:szCs w:val="20"/>
                <w:lang w:eastAsia="zh-CN" w:bidi="hi-IN"/>
              </w:rPr>
              <w:t>я модулем отправки телеметрии.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17ADA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</w:t>
            </w:r>
          </w:p>
        </w:tc>
      </w:tr>
      <w:tr w:rsidR="00AB2768" w:rsidRPr="00AB2768" w:rsidTr="00B17ADA">
        <w:trPr>
          <w:trHeight w:val="295"/>
        </w:trPr>
        <w:tc>
          <w:tcPr>
            <w:tcW w:w="9498" w:type="dxa"/>
            <w:gridSpan w:val="3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AB2768">
              <w:rPr>
                <w:rFonts w:eastAsia="Times New Roman" w:cs="Times New Roman"/>
                <w:b/>
                <w:kern w:val="0"/>
              </w:rPr>
              <w:t xml:space="preserve">                         ИТОГО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17ADA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1</w:t>
            </w:r>
          </w:p>
        </w:tc>
      </w:tr>
    </w:tbl>
    <w:p w:rsidR="00AB2768" w:rsidRPr="00AB2768" w:rsidRDefault="00AB2768" w:rsidP="00AB27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</w:p>
    <w:p w:rsidR="00B17ADA" w:rsidRPr="00B17ADA" w:rsidRDefault="00B17ADA" w:rsidP="00B17ADA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B17ADA" w:rsidRPr="00B17ADA" w:rsidRDefault="00B17ADA" w:rsidP="00B17ADA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/>
          <w:kern w:val="0"/>
        </w:rPr>
      </w:pPr>
      <w:r w:rsidRPr="00B17ADA">
        <w:rPr>
          <w:rFonts w:eastAsia="Times New Roman" w:cs="Times New Roman"/>
          <w:b/>
          <w:kern w:val="0"/>
        </w:rPr>
        <w:t>Требования к качеству работ</w:t>
      </w:r>
    </w:p>
    <w:p w:rsidR="00B17ADA" w:rsidRPr="00B17ADA" w:rsidRDefault="00B17ADA" w:rsidP="00B17ADA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b/>
          <w:kern w:val="0"/>
        </w:rPr>
        <w:t>Протез верхней конечности</w:t>
      </w:r>
      <w:r w:rsidRPr="00B17ADA">
        <w:rPr>
          <w:rFonts w:eastAsia="Times New Roman" w:cs="Times New Roman"/>
          <w:kern w:val="0"/>
        </w:rPr>
        <w:t xml:space="preserve"> должен соответствовать требованиям Государственного стандарта Российской Федерации ГОСТ Р 56138-2021 «Протезы верхних конечностей. Технические требования», ГОСТ Р 51632-20</w:t>
      </w:r>
      <w:r w:rsidR="002160B4">
        <w:rPr>
          <w:rFonts w:eastAsia="Times New Roman" w:cs="Times New Roman"/>
          <w:kern w:val="0"/>
        </w:rPr>
        <w:t>21</w:t>
      </w:r>
      <w:r w:rsidRPr="00B17ADA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Р 51819-2017 «Протезирование и </w:t>
      </w:r>
      <w:proofErr w:type="spellStart"/>
      <w:r w:rsidRPr="00B17ADA">
        <w:rPr>
          <w:rFonts w:eastAsia="Times New Roman" w:cs="Times New Roman"/>
          <w:kern w:val="0"/>
        </w:rPr>
        <w:t>ортезирование</w:t>
      </w:r>
      <w:proofErr w:type="spellEnd"/>
      <w:r w:rsidRPr="00B17ADA">
        <w:rPr>
          <w:rFonts w:eastAsia="Times New Roman" w:cs="Times New Roman"/>
          <w:kern w:val="0"/>
        </w:rPr>
        <w:t xml:space="preserve"> верхних и нижних конечностей. Термины и определения».</w:t>
      </w:r>
    </w:p>
    <w:p w:rsidR="00B17ADA" w:rsidRPr="00B17ADA" w:rsidRDefault="00B17ADA" w:rsidP="00B17ADA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FF0000"/>
          <w:kern w:val="0"/>
        </w:rPr>
      </w:pPr>
      <w:r w:rsidRPr="00B17ADA">
        <w:rPr>
          <w:rFonts w:eastAsia="Times New Roman" w:cs="Times New Roman"/>
          <w:kern w:val="0"/>
        </w:rPr>
        <w:t>В соответствии с ГОСТ Р 51632-20</w:t>
      </w:r>
      <w:r w:rsidR="002160B4">
        <w:rPr>
          <w:rFonts w:eastAsia="Times New Roman" w:cs="Times New Roman"/>
          <w:kern w:val="0"/>
        </w:rPr>
        <w:t>21</w:t>
      </w:r>
      <w:r w:rsidRPr="00B17ADA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изделия должны удовлетворять эргономическим требованиям и требованиям эстетики, установленным по ГОСТ 30.001-83 с учетом специальных нужд людей с ограничениями жизнедеятельности, для которых эти изделия предназначены. Изделия, контактирующие с выделениями тканей человека, должны выдерживать неоднократную дезинфекцию простыми дезинфицирующими средствами без повреждения изделия.</w:t>
      </w:r>
      <w:r w:rsidRPr="00B17ADA">
        <w:rPr>
          <w:rFonts w:eastAsia="Times New Roman" w:cs="Times New Roman"/>
          <w:color w:val="FF0000"/>
          <w:kern w:val="0"/>
        </w:rPr>
        <w:t xml:space="preserve"> </w:t>
      </w:r>
    </w:p>
    <w:p w:rsidR="00B17ADA" w:rsidRPr="00B17ADA" w:rsidRDefault="00B17ADA" w:rsidP="00B17ADA">
      <w:pPr>
        <w:widowControl/>
        <w:suppressAutoHyphens w:val="0"/>
        <w:autoSpaceDN/>
        <w:ind w:firstLine="851"/>
        <w:jc w:val="center"/>
        <w:textAlignment w:val="auto"/>
        <w:rPr>
          <w:rFonts w:eastAsia="Times New Roman" w:cs="Times New Roman"/>
          <w:b/>
          <w:kern w:val="0"/>
        </w:rPr>
      </w:pPr>
      <w:r w:rsidRPr="00B17ADA">
        <w:rPr>
          <w:rFonts w:eastAsia="Times New Roman" w:cs="Times New Roman"/>
          <w:b/>
          <w:kern w:val="0"/>
        </w:rPr>
        <w:lastRenderedPageBreak/>
        <w:t>Требования к техническим и функциональным характеристикам работ</w:t>
      </w:r>
    </w:p>
    <w:p w:rsidR="00B17ADA" w:rsidRPr="00B17ADA" w:rsidRDefault="00B17ADA" w:rsidP="00B17ADA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Выполняемые работы по обеспечению </w:t>
      </w:r>
      <w:r w:rsidR="00792531">
        <w:rPr>
          <w:rFonts w:eastAsia="Times New Roman" w:cs="Times New Roman"/>
          <w:kern w:val="0"/>
        </w:rPr>
        <w:t>инвалида</w:t>
      </w:r>
      <w:r w:rsidRPr="00B17ADA">
        <w:rPr>
          <w:rFonts w:eastAsia="Times New Roman" w:cs="Times New Roman"/>
          <w:kern w:val="0"/>
        </w:rPr>
        <w:t xml:space="preserve"> протезом верхней конечности должны</w:t>
      </w:r>
      <w:r w:rsidRPr="00B17ADA">
        <w:rPr>
          <w:rFonts w:eastAsia="Times New Roman" w:cs="Times New Roman"/>
          <w:b/>
          <w:kern w:val="0"/>
        </w:rPr>
        <w:t xml:space="preserve"> </w:t>
      </w:r>
      <w:r w:rsidRPr="00B17ADA">
        <w:rPr>
          <w:rFonts w:eastAsia="Times New Roman" w:cs="Times New Roman"/>
          <w:kern w:val="0"/>
        </w:rPr>
        <w:t>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17ADA" w:rsidRPr="00B17ADA" w:rsidRDefault="00B17ADA" w:rsidP="00B17ADA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bookmarkStart w:id="0" w:name="_GoBack"/>
      <w:bookmarkEnd w:id="0"/>
      <w:r w:rsidRPr="00B17ADA">
        <w:rPr>
          <w:rFonts w:eastAsia="Times New Roman" w:cs="Times New Roman"/>
          <w:kern w:val="0"/>
        </w:rPr>
        <w:t>с помощью протеза верхней конечности.</w:t>
      </w:r>
    </w:p>
    <w:p w:rsidR="00B17ADA" w:rsidRPr="00B17ADA" w:rsidRDefault="00B17ADA" w:rsidP="00B17ADA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Приемная гильза протеза изготавливается по индивидуальному параметру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 xml:space="preserve">и предназначается для размещения в нем пораженной конечности, обеспечивая взаимодействие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>с протезом конечности.</w:t>
      </w:r>
    </w:p>
    <w:p w:rsidR="00B17ADA" w:rsidRPr="00B17ADA" w:rsidRDefault="00B17ADA" w:rsidP="00B17ADA">
      <w:pPr>
        <w:widowControl/>
        <w:suppressAutoHyphens w:val="0"/>
        <w:autoSpaceDN/>
        <w:spacing w:after="60"/>
        <w:ind w:firstLine="851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17ADA" w:rsidRPr="00B17ADA" w:rsidRDefault="00B17ADA" w:rsidP="00B17ADA">
      <w:pPr>
        <w:widowControl/>
        <w:suppressAutoHyphens w:val="0"/>
        <w:autoSpaceDN/>
        <w:ind w:firstLine="851"/>
        <w:jc w:val="center"/>
        <w:textAlignment w:val="auto"/>
        <w:rPr>
          <w:rFonts w:eastAsia="Times New Roman" w:cs="Times New Roman"/>
          <w:b/>
          <w:kern w:val="0"/>
        </w:rPr>
      </w:pPr>
      <w:r w:rsidRPr="00B17ADA">
        <w:rPr>
          <w:rFonts w:eastAsia="Times New Roman" w:cs="Times New Roman"/>
          <w:b/>
          <w:kern w:val="0"/>
        </w:rPr>
        <w:t>Требования к результатам работ</w:t>
      </w:r>
    </w:p>
    <w:p w:rsidR="00B17ADA" w:rsidRPr="00B17ADA" w:rsidRDefault="00B17ADA" w:rsidP="00B17ADA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Работы по обеспечению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 xml:space="preserve">протезом верхней конечности следует считать эффективно исполненными, если у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 xml:space="preserve">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792531" w:rsidRPr="00792531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>протезом должны быть выполнены с надлежащим качеством и в установленные сроки.</w:t>
      </w:r>
    </w:p>
    <w:p w:rsidR="00B17ADA" w:rsidRPr="00B17ADA" w:rsidRDefault="00B17ADA" w:rsidP="00B17ADA">
      <w:pPr>
        <w:keepNext/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b/>
          <w:kern w:val="0"/>
        </w:rPr>
        <w:t>Требования к размерам, упаковке.</w:t>
      </w:r>
      <w:r w:rsidRPr="00B17ADA">
        <w:rPr>
          <w:rFonts w:eastAsia="Times New Roman" w:cs="Times New Roman"/>
          <w:kern w:val="0"/>
        </w:rPr>
        <w:t xml:space="preserve"> </w:t>
      </w:r>
    </w:p>
    <w:p w:rsidR="00B17ADA" w:rsidRPr="00B17ADA" w:rsidRDefault="00B17ADA" w:rsidP="00B17ADA">
      <w:pPr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B17ADA">
        <w:rPr>
          <w:rFonts w:eastAsia="Times New Roman" w:cs="Times New Roman"/>
          <w:color w:val="000000"/>
          <w:kern w:val="0"/>
        </w:rPr>
        <w:t xml:space="preserve">Маркировка протеза, а также их упаковка, хранение и транспортировка к месту жительства </w:t>
      </w:r>
      <w:r w:rsidR="00792531" w:rsidRPr="00792531">
        <w:rPr>
          <w:rFonts w:eastAsia="Times New Roman" w:cs="Times New Roman"/>
          <w:color w:val="000000"/>
          <w:kern w:val="0"/>
        </w:rPr>
        <w:t xml:space="preserve">инвалида </w:t>
      </w:r>
      <w:r w:rsidRPr="00B17ADA">
        <w:rPr>
          <w:rFonts w:eastAsia="Times New Roman" w:cs="Times New Roman"/>
          <w:color w:val="000000"/>
          <w:kern w:val="0"/>
        </w:rPr>
        <w:t xml:space="preserve">должна осуществляться с соблюдением требований ГОСТ Р ИСО 22523-2007 «Протезы конечностей и </w:t>
      </w:r>
      <w:proofErr w:type="spellStart"/>
      <w:r w:rsidRPr="00B17ADA">
        <w:rPr>
          <w:rFonts w:eastAsia="Times New Roman" w:cs="Times New Roman"/>
          <w:color w:val="000000"/>
          <w:kern w:val="0"/>
        </w:rPr>
        <w:t>ортезы</w:t>
      </w:r>
      <w:proofErr w:type="spellEnd"/>
      <w:r w:rsidRPr="00B17ADA">
        <w:rPr>
          <w:rFonts w:eastAsia="Times New Roman" w:cs="Times New Roman"/>
          <w:color w:val="000000"/>
          <w:kern w:val="0"/>
        </w:rPr>
        <w:t xml:space="preserve"> наружные. Требования и методы испытаний» и ГОСТ Р 51632-20</w:t>
      </w:r>
      <w:r w:rsidR="002160B4">
        <w:rPr>
          <w:rFonts w:eastAsia="Times New Roman" w:cs="Times New Roman"/>
          <w:color w:val="000000"/>
          <w:kern w:val="0"/>
        </w:rPr>
        <w:t>21</w:t>
      </w:r>
      <w:r w:rsidRPr="00B17ADA">
        <w:rPr>
          <w:rFonts w:eastAsia="Times New Roman" w:cs="Times New Roman"/>
          <w:color w:val="000000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17ADA" w:rsidRPr="00B17ADA" w:rsidRDefault="00B17ADA" w:rsidP="00B17ADA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color w:val="000000"/>
          <w:kern w:val="0"/>
          <w:lang w:val="x-none" w:eastAsia="x-none"/>
        </w:rPr>
      </w:pPr>
      <w:r w:rsidRPr="00B17ADA">
        <w:rPr>
          <w:rFonts w:eastAsia="Times New Roman" w:cs="Times New Roman"/>
          <w:color w:val="000000"/>
          <w:kern w:val="0"/>
          <w:lang w:val="x-none" w:eastAsia="x-none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</w:t>
      </w:r>
      <w:r w:rsidR="00792531" w:rsidRPr="00792531">
        <w:rPr>
          <w:rFonts w:eastAsia="Times New Roman" w:cs="Times New Roman"/>
          <w:color w:val="000000"/>
          <w:kern w:val="0"/>
          <w:lang w:val="x-none" w:eastAsia="x-none"/>
        </w:rPr>
        <w:t>инвалида</w:t>
      </w:r>
      <w:r w:rsidRPr="00B17ADA">
        <w:rPr>
          <w:rFonts w:eastAsia="Times New Roman" w:cs="Times New Roman"/>
          <w:color w:val="000000"/>
          <w:kern w:val="0"/>
          <w:lang w:val="x-none" w:eastAsia="x-none"/>
        </w:rPr>
        <w:t>.</w:t>
      </w:r>
    </w:p>
    <w:p w:rsidR="00B17ADA" w:rsidRPr="00B17ADA" w:rsidRDefault="00B17ADA" w:rsidP="00B17ADA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17ADA" w:rsidRPr="00B17ADA" w:rsidRDefault="00B17ADA" w:rsidP="00B17A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b/>
          <w:kern w:val="0"/>
        </w:rPr>
        <w:t>Гарантийный срок на протез устанавливается</w:t>
      </w:r>
      <w:r w:rsidRPr="00B17ADA">
        <w:rPr>
          <w:rFonts w:eastAsia="Times New Roman" w:cs="Times New Roman"/>
          <w:kern w:val="0"/>
        </w:rPr>
        <w:t xml:space="preserve"> со дня подписания Акта сдачи-приемки работ, а именно:</w:t>
      </w:r>
    </w:p>
    <w:p w:rsidR="00B17ADA" w:rsidRPr="00B17ADA" w:rsidRDefault="00B17ADA" w:rsidP="00B17AD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- протез верхней конечности – не менее </w:t>
      </w:r>
      <w:r w:rsidR="002160B4">
        <w:rPr>
          <w:rFonts w:eastAsia="Times New Roman" w:cs="Times New Roman"/>
          <w:b/>
          <w:kern w:val="0"/>
          <w:u w:val="single"/>
        </w:rPr>
        <w:t>12</w:t>
      </w:r>
      <w:r w:rsidRPr="00B17ADA">
        <w:rPr>
          <w:rFonts w:eastAsia="Times New Roman" w:cs="Times New Roman"/>
          <w:b/>
          <w:kern w:val="0"/>
          <w:u w:val="single"/>
        </w:rPr>
        <w:t xml:space="preserve"> месяцев</w:t>
      </w:r>
      <w:r w:rsidRPr="00B17ADA">
        <w:rPr>
          <w:rFonts w:eastAsia="Times New Roman" w:cs="Times New Roman"/>
          <w:kern w:val="0"/>
        </w:rPr>
        <w:t>.</w:t>
      </w:r>
    </w:p>
    <w:p w:rsidR="00B17ADA" w:rsidRPr="00B17ADA" w:rsidRDefault="00B17ADA" w:rsidP="00B17AD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B17ADA" w:rsidRPr="00B17ADA" w:rsidRDefault="00B17ADA" w:rsidP="00B17ADA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kern w:val="0"/>
        </w:rPr>
        <w:t xml:space="preserve">            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17ADA" w:rsidRPr="00B17ADA" w:rsidRDefault="00B17ADA" w:rsidP="00B17ADA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B17ADA" w:rsidRPr="00B17ADA" w:rsidRDefault="00B17ADA" w:rsidP="00B17ADA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B17ADA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B17ADA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B17ADA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B17ADA">
        <w:rPr>
          <w:rFonts w:eastAsia="Times New Roman" w:cs="Times New Roman"/>
          <w:kern w:val="0"/>
          <w:lang w:val="x-none" w:eastAsia="x-none"/>
        </w:rPr>
        <w:t xml:space="preserve">Российская Федерация, при невозможности </w:t>
      </w:r>
      <w:r w:rsidR="00792531" w:rsidRPr="00792531">
        <w:rPr>
          <w:rFonts w:eastAsia="Times New Roman" w:cs="Times New Roman"/>
          <w:kern w:val="0"/>
          <w:lang w:val="x-none" w:eastAsia="x-none"/>
        </w:rPr>
        <w:t xml:space="preserve">инвалида </w:t>
      </w:r>
      <w:r w:rsidRPr="00B17ADA">
        <w:rPr>
          <w:rFonts w:eastAsia="Times New Roman" w:cs="Times New Roman"/>
          <w:kern w:val="0"/>
          <w:lang w:val="x-none" w:eastAsia="x-none"/>
        </w:rPr>
        <w:t xml:space="preserve">прибыть к месту изготовления изделий, все предварительные работы по определению индивидуальных размеров для </w:t>
      </w:r>
      <w:r w:rsidR="00792531" w:rsidRPr="00792531">
        <w:rPr>
          <w:rFonts w:eastAsia="Times New Roman" w:cs="Times New Roman"/>
          <w:kern w:val="0"/>
          <w:lang w:val="x-none" w:eastAsia="x-none"/>
        </w:rPr>
        <w:t xml:space="preserve">инвалида </w:t>
      </w:r>
      <w:r w:rsidRPr="00B17ADA">
        <w:rPr>
          <w:rFonts w:eastAsia="Times New Roman" w:cs="Times New Roman"/>
          <w:kern w:val="0"/>
          <w:lang w:val="x-none" w:eastAsia="x-none"/>
        </w:rPr>
        <w:t xml:space="preserve">должны осуществляться по месту жительства </w:t>
      </w:r>
      <w:r w:rsidR="00792531" w:rsidRPr="00792531">
        <w:rPr>
          <w:rFonts w:eastAsia="Times New Roman" w:cs="Times New Roman"/>
          <w:kern w:val="0"/>
          <w:lang w:val="x-none" w:eastAsia="x-none"/>
        </w:rPr>
        <w:t>инвалида</w:t>
      </w:r>
      <w:r w:rsidRPr="00B17ADA">
        <w:rPr>
          <w:rFonts w:eastAsia="Times New Roman" w:cs="Times New Roman"/>
          <w:kern w:val="0"/>
          <w:lang w:val="x-none" w:eastAsia="x-none"/>
        </w:rPr>
        <w:t xml:space="preserve">, а также при невозможности выдача изготовленного изделия должна осуществляться по месту жительства </w:t>
      </w:r>
      <w:r w:rsidR="00792531" w:rsidRPr="00792531">
        <w:rPr>
          <w:rFonts w:eastAsia="Times New Roman" w:cs="Times New Roman"/>
          <w:kern w:val="0"/>
          <w:lang w:val="x-none" w:eastAsia="x-none"/>
        </w:rPr>
        <w:t>инвалида</w:t>
      </w:r>
      <w:r w:rsidRPr="00B17ADA">
        <w:rPr>
          <w:rFonts w:eastAsia="Times New Roman" w:cs="Times New Roman"/>
          <w:kern w:val="0"/>
          <w:lang w:val="x-none" w:eastAsia="x-none"/>
        </w:rPr>
        <w:t>.</w:t>
      </w:r>
      <w:r w:rsidRPr="00B17ADA">
        <w:rPr>
          <w:rFonts w:eastAsia="Times New Roman" w:cs="Times New Roman"/>
          <w:kern w:val="0"/>
          <w:lang w:eastAsia="x-none"/>
        </w:rPr>
        <w:t xml:space="preserve"> </w:t>
      </w:r>
    </w:p>
    <w:p w:rsidR="00B17ADA" w:rsidRPr="00B17ADA" w:rsidRDefault="00B17ADA" w:rsidP="00B17ADA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B17ADA">
        <w:rPr>
          <w:rFonts w:eastAsia="Times New Roman" w:cs="Times New Roman"/>
          <w:b/>
          <w:kern w:val="0"/>
        </w:rPr>
        <w:t xml:space="preserve">Сроки выполнения работ: </w:t>
      </w:r>
      <w:r w:rsidRPr="00B17ADA">
        <w:rPr>
          <w:rFonts w:eastAsia="Times New Roman" w:cs="Times New Roman"/>
          <w:kern w:val="0"/>
        </w:rPr>
        <w:t xml:space="preserve">Не более </w:t>
      </w:r>
      <w:r w:rsidR="002160B4">
        <w:rPr>
          <w:rFonts w:eastAsia="Times New Roman" w:cs="Times New Roman"/>
          <w:kern w:val="0"/>
        </w:rPr>
        <w:t>6</w:t>
      </w:r>
      <w:r w:rsidRPr="00B17ADA">
        <w:rPr>
          <w:rFonts w:eastAsia="Times New Roman" w:cs="Times New Roman"/>
          <w:kern w:val="0"/>
        </w:rPr>
        <w:t xml:space="preserve">0 календарных дней со дня обращения </w:t>
      </w:r>
      <w:r w:rsidR="008435BE" w:rsidRPr="008435BE">
        <w:rPr>
          <w:rFonts w:eastAsia="Times New Roman" w:cs="Times New Roman"/>
          <w:kern w:val="0"/>
        </w:rPr>
        <w:t xml:space="preserve">инвалида </w:t>
      </w:r>
      <w:r w:rsidRPr="00B17ADA">
        <w:rPr>
          <w:rFonts w:eastAsia="Times New Roman" w:cs="Times New Roman"/>
          <w:kern w:val="0"/>
        </w:rPr>
        <w:t>(при наличии направлений Заказчика). Работы должны быть выполнены в полном объеме до 25 декабря 202</w:t>
      </w:r>
      <w:r w:rsidR="002160B4">
        <w:rPr>
          <w:rFonts w:eastAsia="Times New Roman" w:cs="Times New Roman"/>
          <w:kern w:val="0"/>
        </w:rPr>
        <w:t>2</w:t>
      </w:r>
      <w:r w:rsidRPr="00B17ADA">
        <w:rPr>
          <w:rFonts w:eastAsia="Times New Roman" w:cs="Times New Roman"/>
          <w:kern w:val="0"/>
        </w:rPr>
        <w:t xml:space="preserve"> года.</w:t>
      </w:r>
    </w:p>
    <w:p w:rsidR="00B17ADA" w:rsidRPr="00B17ADA" w:rsidRDefault="00B17ADA" w:rsidP="00B17ADA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E261C6" w:rsidRDefault="00B17ADA" w:rsidP="00B17ADA">
      <w:pPr>
        <w:tabs>
          <w:tab w:val="left" w:pos="1020"/>
        </w:tabs>
        <w:jc w:val="both"/>
        <w:rPr>
          <w:sz w:val="22"/>
          <w:szCs w:val="22"/>
        </w:rPr>
      </w:pPr>
      <w:r w:rsidRPr="00B17ADA">
        <w:rPr>
          <w:rFonts w:eastAsia="Times New Roman" w:cs="Times New Roman"/>
          <w:kern w:val="0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</w:t>
      </w:r>
      <w:r w:rsidRPr="00B17ADA">
        <w:rPr>
          <w:rFonts w:eastAsia="Times New Roman" w:cs="Times New Roman"/>
          <w:kern w:val="0"/>
        </w:rPr>
        <w:lastRenderedPageBreak/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182928" w:rsidRDefault="00182928" w:rsidP="00917F39">
      <w:pPr>
        <w:pStyle w:val="Standard"/>
        <w:tabs>
          <w:tab w:val="left" w:pos="1020"/>
        </w:tabs>
      </w:pPr>
      <w:r>
        <w:rPr>
          <w:rFonts w:eastAsia="Arial" w:cs="Arial"/>
          <w:sz w:val="22"/>
          <w:szCs w:val="22"/>
        </w:rPr>
        <w:t xml:space="preserve"> </w:t>
      </w:r>
    </w:p>
    <w:sectPr w:rsidR="00182928" w:rsidSect="002151AD">
      <w:headerReference w:type="default" r:id="rId7"/>
      <w:pgSz w:w="11905" w:h="16837"/>
      <w:pgMar w:top="851" w:right="7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7D" w:rsidRDefault="0060747D">
      <w:r>
        <w:separator/>
      </w:r>
    </w:p>
  </w:endnote>
  <w:endnote w:type="continuationSeparator" w:id="0">
    <w:p w:rsidR="0060747D" w:rsidRDefault="0060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7D" w:rsidRDefault="0060747D">
      <w:r>
        <w:separator/>
      </w:r>
    </w:p>
  </w:footnote>
  <w:footnote w:type="continuationSeparator" w:id="0">
    <w:p w:rsidR="0060747D" w:rsidRDefault="0060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792531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792531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6677C"/>
    <w:rsid w:val="001735E7"/>
    <w:rsid w:val="001745B4"/>
    <w:rsid w:val="00182928"/>
    <w:rsid w:val="00182E3C"/>
    <w:rsid w:val="00186D62"/>
    <w:rsid w:val="00187C91"/>
    <w:rsid w:val="001917CF"/>
    <w:rsid w:val="0019739A"/>
    <w:rsid w:val="001A426C"/>
    <w:rsid w:val="001A47A9"/>
    <w:rsid w:val="001A7EA2"/>
    <w:rsid w:val="001B01E4"/>
    <w:rsid w:val="001B09DF"/>
    <w:rsid w:val="001B63D4"/>
    <w:rsid w:val="001D358F"/>
    <w:rsid w:val="001E3FCA"/>
    <w:rsid w:val="001E4466"/>
    <w:rsid w:val="001F75BD"/>
    <w:rsid w:val="002036BB"/>
    <w:rsid w:val="00212F69"/>
    <w:rsid w:val="002151AD"/>
    <w:rsid w:val="002160B4"/>
    <w:rsid w:val="0022102E"/>
    <w:rsid w:val="00222176"/>
    <w:rsid w:val="0022243F"/>
    <w:rsid w:val="00225564"/>
    <w:rsid w:val="0023083F"/>
    <w:rsid w:val="002461A9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C0EAF"/>
    <w:rsid w:val="002D6708"/>
    <w:rsid w:val="002F4C0A"/>
    <w:rsid w:val="00304342"/>
    <w:rsid w:val="00342A3B"/>
    <w:rsid w:val="00356BA3"/>
    <w:rsid w:val="003613F1"/>
    <w:rsid w:val="00361B5E"/>
    <w:rsid w:val="00367F3B"/>
    <w:rsid w:val="00376927"/>
    <w:rsid w:val="003769D4"/>
    <w:rsid w:val="00390C7E"/>
    <w:rsid w:val="003B456C"/>
    <w:rsid w:val="003C031A"/>
    <w:rsid w:val="003C0BA0"/>
    <w:rsid w:val="003C3552"/>
    <w:rsid w:val="003D5B77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0409"/>
    <w:rsid w:val="005A111A"/>
    <w:rsid w:val="005B1654"/>
    <w:rsid w:val="005E17B2"/>
    <w:rsid w:val="005F1BF2"/>
    <w:rsid w:val="0060222D"/>
    <w:rsid w:val="00606D39"/>
    <w:rsid w:val="00606F2B"/>
    <w:rsid w:val="0060747D"/>
    <w:rsid w:val="00615AD7"/>
    <w:rsid w:val="00641856"/>
    <w:rsid w:val="006463EC"/>
    <w:rsid w:val="00646B0D"/>
    <w:rsid w:val="0064715A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2531"/>
    <w:rsid w:val="007969C0"/>
    <w:rsid w:val="007A0D99"/>
    <w:rsid w:val="007C2927"/>
    <w:rsid w:val="007E1212"/>
    <w:rsid w:val="00810D06"/>
    <w:rsid w:val="00814C53"/>
    <w:rsid w:val="00816058"/>
    <w:rsid w:val="008435BE"/>
    <w:rsid w:val="008435C7"/>
    <w:rsid w:val="00844C13"/>
    <w:rsid w:val="008531D5"/>
    <w:rsid w:val="008545AF"/>
    <w:rsid w:val="00857E22"/>
    <w:rsid w:val="008629A5"/>
    <w:rsid w:val="008723D0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19B3"/>
    <w:rsid w:val="008C3F6E"/>
    <w:rsid w:val="008D2069"/>
    <w:rsid w:val="008E4D7B"/>
    <w:rsid w:val="008F1DEF"/>
    <w:rsid w:val="00903BFA"/>
    <w:rsid w:val="0091250C"/>
    <w:rsid w:val="00915FC7"/>
    <w:rsid w:val="00916AB5"/>
    <w:rsid w:val="00917F39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171C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42C64"/>
    <w:rsid w:val="00A4407C"/>
    <w:rsid w:val="00A45AB5"/>
    <w:rsid w:val="00A53294"/>
    <w:rsid w:val="00A550E8"/>
    <w:rsid w:val="00A70BB6"/>
    <w:rsid w:val="00A764FA"/>
    <w:rsid w:val="00A96C33"/>
    <w:rsid w:val="00AA2714"/>
    <w:rsid w:val="00AA46D9"/>
    <w:rsid w:val="00AB2768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17ADA"/>
    <w:rsid w:val="00B31552"/>
    <w:rsid w:val="00B41633"/>
    <w:rsid w:val="00B46BD3"/>
    <w:rsid w:val="00B534C6"/>
    <w:rsid w:val="00B67EAF"/>
    <w:rsid w:val="00B76864"/>
    <w:rsid w:val="00B81E67"/>
    <w:rsid w:val="00BA6987"/>
    <w:rsid w:val="00BA71AD"/>
    <w:rsid w:val="00BB4CF3"/>
    <w:rsid w:val="00BC28F2"/>
    <w:rsid w:val="00BD307F"/>
    <w:rsid w:val="00BD636C"/>
    <w:rsid w:val="00BE75AC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76F2B"/>
    <w:rsid w:val="00C82DE7"/>
    <w:rsid w:val="00C94B95"/>
    <w:rsid w:val="00CA1F8E"/>
    <w:rsid w:val="00CB49F5"/>
    <w:rsid w:val="00CB6914"/>
    <w:rsid w:val="00CC0441"/>
    <w:rsid w:val="00CC0B30"/>
    <w:rsid w:val="00CD5016"/>
    <w:rsid w:val="00CD7D12"/>
    <w:rsid w:val="00CE49BA"/>
    <w:rsid w:val="00CE6C48"/>
    <w:rsid w:val="00CF4CF9"/>
    <w:rsid w:val="00D03334"/>
    <w:rsid w:val="00D06ABC"/>
    <w:rsid w:val="00D1223B"/>
    <w:rsid w:val="00D12CA7"/>
    <w:rsid w:val="00D13BFB"/>
    <w:rsid w:val="00D162F2"/>
    <w:rsid w:val="00D167D0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C1E8F"/>
    <w:rsid w:val="00DC3F07"/>
    <w:rsid w:val="00DE3CB6"/>
    <w:rsid w:val="00DE3D7E"/>
    <w:rsid w:val="00DE6D03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B130F"/>
    <w:rsid w:val="00EC19C5"/>
    <w:rsid w:val="00EC52C0"/>
    <w:rsid w:val="00EC5A6A"/>
    <w:rsid w:val="00EC6D11"/>
    <w:rsid w:val="00EE01F3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B7312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2475-D160-4DA6-8DCE-7DCA128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7</cp:revision>
  <cp:lastPrinted>2021-02-26T07:00:00Z</cp:lastPrinted>
  <dcterms:created xsi:type="dcterms:W3CDTF">2021-11-19T09:09:00Z</dcterms:created>
  <dcterms:modified xsi:type="dcterms:W3CDTF">2021-12-22T12:40:00Z</dcterms:modified>
</cp:coreProperties>
</file>