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BF" w:rsidRDefault="003545BF" w:rsidP="00932AAE">
      <w:pPr>
        <w:keepLines/>
        <w:widowControl w:val="0"/>
        <w:autoSpaceDE w:val="0"/>
        <w:autoSpaceDN w:val="0"/>
        <w:adjustRightInd w:val="0"/>
        <w:spacing w:after="0" w:line="240" w:lineRule="auto"/>
        <w:jc w:val="center"/>
        <w:rPr>
          <w:rFonts w:ascii="Times New Roman" w:hAnsi="Times New Roman" w:cs="Times New Roman"/>
          <w:b/>
          <w:sz w:val="24"/>
          <w:szCs w:val="24"/>
        </w:rPr>
      </w:pPr>
      <w:r w:rsidRPr="003545BF">
        <w:rPr>
          <w:rFonts w:ascii="Times New Roman" w:hAnsi="Times New Roman" w:cs="Times New Roman"/>
          <w:b/>
          <w:sz w:val="24"/>
          <w:szCs w:val="24"/>
        </w:rPr>
        <w:t>Техническое задание (описание объекта закупки и условия исполнения государственного контракта)</w:t>
      </w:r>
    </w:p>
    <w:p w:rsidR="003545BF" w:rsidRDefault="003545BF" w:rsidP="00932AAE">
      <w:pPr>
        <w:keepLines/>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ar-SA"/>
        </w:rPr>
      </w:pPr>
    </w:p>
    <w:p w:rsidR="00932AAE" w:rsidRDefault="00676C84" w:rsidP="00FD15A3">
      <w:pPr>
        <w:keepLines/>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ar-SA"/>
        </w:rPr>
      </w:pPr>
      <w:r w:rsidRPr="00676C84">
        <w:rPr>
          <w:rFonts w:ascii="Times New Roman" w:eastAsia="Times New Roman" w:hAnsi="Times New Roman" w:cs="Times New Roman"/>
          <w:bCs/>
          <w:color w:val="000000"/>
          <w:sz w:val="24"/>
          <w:szCs w:val="24"/>
          <w:lang w:eastAsia="ar-SA"/>
        </w:rPr>
        <w:t>Поставка кресел-колясок с ручным приводом с дополнительной фиксацией (поддержкой) головы и тела, в том числе для больных ДЦП, комнатных (для инвалидов и детей-инвалидов) и кресел-колясок с ручным приводом с дополнительной фиксацией (поддержкой) головы и тела, в том числе для больных ДЦП, прогулочных (для инвалидов и детей-инвалидов) для обеспечения детей-инвалидов Краснодарского края в 2022 году</w:t>
      </w:r>
    </w:p>
    <w:tbl>
      <w:tblPr>
        <w:tblStyle w:val="a3"/>
        <w:tblpPr w:leftFromText="180" w:rightFromText="180" w:vertAnchor="text" w:tblpY="1"/>
        <w:tblOverlap w:val="never"/>
        <w:tblW w:w="5012" w:type="pct"/>
        <w:tblLayout w:type="fixed"/>
        <w:tblLook w:val="04A0" w:firstRow="1" w:lastRow="0" w:firstColumn="1" w:lastColumn="0" w:noHBand="0" w:noVBand="1"/>
      </w:tblPr>
      <w:tblGrid>
        <w:gridCol w:w="562"/>
        <w:gridCol w:w="2130"/>
        <w:gridCol w:w="7579"/>
        <w:gridCol w:w="1027"/>
        <w:gridCol w:w="693"/>
        <w:gridCol w:w="1407"/>
        <w:gridCol w:w="1796"/>
      </w:tblGrid>
      <w:tr w:rsidR="00907744" w:rsidRPr="00907744" w:rsidTr="00D0633C">
        <w:tc>
          <w:tcPr>
            <w:tcW w:w="185" w:type="pct"/>
          </w:tcPr>
          <w:p w:rsidR="00907744" w:rsidRPr="00907744" w:rsidRDefault="00907744" w:rsidP="00FD15A3">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 п/п</w:t>
            </w:r>
          </w:p>
        </w:tc>
        <w:tc>
          <w:tcPr>
            <w:tcW w:w="701" w:type="pct"/>
          </w:tcPr>
          <w:p w:rsidR="00907744" w:rsidRPr="00907744" w:rsidRDefault="00907744" w:rsidP="00D0633C">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Наименование товара, работ, услуг</w:t>
            </w:r>
          </w:p>
        </w:tc>
        <w:tc>
          <w:tcPr>
            <w:tcW w:w="2493" w:type="pct"/>
          </w:tcPr>
          <w:p w:rsidR="00907744" w:rsidRPr="00907744" w:rsidRDefault="00907744" w:rsidP="00FD15A3">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Описание объекта закупки</w:t>
            </w:r>
          </w:p>
        </w:tc>
        <w:tc>
          <w:tcPr>
            <w:tcW w:w="33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Кол-во (объем)</w:t>
            </w:r>
          </w:p>
        </w:tc>
        <w:tc>
          <w:tcPr>
            <w:tcW w:w="22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Ед. изм.</w:t>
            </w:r>
          </w:p>
        </w:tc>
        <w:tc>
          <w:tcPr>
            <w:tcW w:w="463"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Цена за ед. изм.</w:t>
            </w:r>
            <w:r w:rsidRPr="00907744">
              <w:rPr>
                <w:rStyle w:val="a6"/>
                <w:rFonts w:ascii="Times New Roman" w:hAnsi="Times New Roman" w:cs="Times New Roman"/>
                <w:sz w:val="24"/>
                <w:szCs w:val="24"/>
              </w:rPr>
              <w:footnoteReference w:id="1"/>
            </w:r>
            <w:r w:rsidRPr="00907744">
              <w:rPr>
                <w:rFonts w:ascii="Times New Roman" w:hAnsi="Times New Roman" w:cs="Times New Roman"/>
                <w:sz w:val="24"/>
                <w:szCs w:val="24"/>
              </w:rPr>
              <w:t>, руб.</w:t>
            </w:r>
          </w:p>
        </w:tc>
        <w:tc>
          <w:tcPr>
            <w:tcW w:w="591"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Цена по позиции</w:t>
            </w:r>
            <w:r w:rsidRPr="00907744">
              <w:rPr>
                <w:rStyle w:val="a6"/>
                <w:rFonts w:ascii="Times New Roman" w:hAnsi="Times New Roman" w:cs="Times New Roman"/>
                <w:sz w:val="24"/>
                <w:szCs w:val="24"/>
              </w:rPr>
              <w:footnoteReference w:id="2"/>
            </w:r>
            <w:r w:rsidRPr="00907744">
              <w:rPr>
                <w:rFonts w:ascii="Times New Roman" w:hAnsi="Times New Roman" w:cs="Times New Roman"/>
                <w:sz w:val="24"/>
                <w:szCs w:val="24"/>
              </w:rPr>
              <w:t>, руб.</w:t>
            </w:r>
          </w:p>
        </w:tc>
      </w:tr>
      <w:tr w:rsidR="00907744" w:rsidRPr="00907744" w:rsidTr="00D0633C">
        <w:tc>
          <w:tcPr>
            <w:tcW w:w="185" w:type="pct"/>
          </w:tcPr>
          <w:p w:rsidR="00907744" w:rsidRPr="00907744" w:rsidRDefault="00907744" w:rsidP="00FD15A3">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1.</w:t>
            </w:r>
          </w:p>
        </w:tc>
        <w:tc>
          <w:tcPr>
            <w:tcW w:w="701" w:type="pct"/>
          </w:tcPr>
          <w:p w:rsidR="00907744" w:rsidRPr="00907744" w:rsidRDefault="00907744" w:rsidP="00D0633C">
            <w:pPr>
              <w:jc w:val="center"/>
              <w:rPr>
                <w:rFonts w:ascii="Times New Roman" w:hAnsi="Times New Roman" w:cs="Times New Roman"/>
                <w:sz w:val="24"/>
                <w:szCs w:val="24"/>
              </w:rPr>
            </w:pPr>
            <w:r w:rsidRPr="00907744">
              <w:rPr>
                <w:rFonts w:ascii="Times New Roman" w:hAnsi="Times New Roman" w:cs="Times New Roman"/>
                <w:sz w:val="24"/>
                <w:szCs w:val="24"/>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2493" w:type="pct"/>
          </w:tcPr>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 должна соответствовать следующим характеристикам: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ширина сиденья 27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глубина сиденья 22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высота подлокотника 18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высота подножки 27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Спинка и сиденье кресла-коляски должны быть с регулируемым углом наклона.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Подлокотники кресла-коляски должны регулироваться по высоте.</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Подножка кресла-коляски должна регулироваться по высоте.</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xml:space="preserve">Кресло-коляска должна быть оборудована приспособлениями: </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подголовник;</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боковые опоры для головы и тела;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поясничным валиком;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валик или ремень для сохранения зазора между ногами;</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держателями для ног;</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нагрудным ремнем;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поясной ремень.</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Кресло-коляска должна быть предназначена для пользователя с объемом бедер 52 см.</w:t>
            </w:r>
          </w:p>
        </w:tc>
        <w:tc>
          <w:tcPr>
            <w:tcW w:w="33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1</w:t>
            </w:r>
          </w:p>
        </w:tc>
        <w:tc>
          <w:tcPr>
            <w:tcW w:w="22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Шт.</w:t>
            </w:r>
          </w:p>
        </w:tc>
        <w:tc>
          <w:tcPr>
            <w:tcW w:w="463"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321 400,00</w:t>
            </w:r>
          </w:p>
        </w:tc>
        <w:tc>
          <w:tcPr>
            <w:tcW w:w="591"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321 400,00</w:t>
            </w:r>
          </w:p>
        </w:tc>
      </w:tr>
      <w:tr w:rsidR="00907744" w:rsidRPr="00907744" w:rsidTr="00D0633C">
        <w:tc>
          <w:tcPr>
            <w:tcW w:w="185" w:type="pct"/>
          </w:tcPr>
          <w:p w:rsidR="00907744" w:rsidRPr="00907744" w:rsidRDefault="00907744" w:rsidP="00FD15A3">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2.</w:t>
            </w:r>
          </w:p>
        </w:tc>
        <w:tc>
          <w:tcPr>
            <w:tcW w:w="701" w:type="pct"/>
          </w:tcPr>
          <w:p w:rsidR="00907744" w:rsidRPr="00907744" w:rsidRDefault="00907744" w:rsidP="00D0633C">
            <w:pPr>
              <w:jc w:val="center"/>
              <w:rPr>
                <w:rFonts w:ascii="Times New Roman" w:hAnsi="Times New Roman" w:cs="Times New Roman"/>
                <w:sz w:val="24"/>
                <w:szCs w:val="24"/>
              </w:rPr>
            </w:pPr>
            <w:r w:rsidRPr="00907744">
              <w:rPr>
                <w:rFonts w:ascii="Times New Roman" w:hAnsi="Times New Roman" w:cs="Times New Roman"/>
                <w:sz w:val="24"/>
                <w:szCs w:val="24"/>
              </w:rPr>
              <w:t xml:space="preserve">Кресло-коляска с ручным приводом с дополнительной фиксацией </w:t>
            </w:r>
            <w:r w:rsidRPr="00907744">
              <w:rPr>
                <w:rFonts w:ascii="Times New Roman" w:hAnsi="Times New Roman" w:cs="Times New Roman"/>
                <w:sz w:val="24"/>
                <w:szCs w:val="24"/>
              </w:rPr>
              <w:lastRenderedPageBreak/>
              <w:t>(поддержкой) головы и тела, в том числе для больных ДЦП, комнатная (для инвалидов и детей-инвалидов)</w:t>
            </w:r>
          </w:p>
        </w:tc>
        <w:tc>
          <w:tcPr>
            <w:tcW w:w="2493" w:type="pct"/>
          </w:tcPr>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lastRenderedPageBreak/>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 должна соответствовать следующим характеристикам: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lastRenderedPageBreak/>
              <w:t>- ширина сиденья 32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глубина сиденья 32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высота подлокотника 15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высота подножки 33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Спинка и сиденье кресла-коляски должны быть с регулируемым углом наклона.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Подлокотники кресла-коляски должны регулироваться по высоте.</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Подножка кресла-коляски должна регулироваться по высоте.</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xml:space="preserve">Кресло-коляска должна быть оборудована приспособлениями: </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подголовник;</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боковые опоры для головы и тела;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держателями для ног;</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поясной ремень.</w:t>
            </w:r>
          </w:p>
        </w:tc>
        <w:tc>
          <w:tcPr>
            <w:tcW w:w="33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lastRenderedPageBreak/>
              <w:t>1</w:t>
            </w:r>
          </w:p>
        </w:tc>
        <w:tc>
          <w:tcPr>
            <w:tcW w:w="22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Шт.</w:t>
            </w:r>
          </w:p>
        </w:tc>
        <w:tc>
          <w:tcPr>
            <w:tcW w:w="463"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344 400,00</w:t>
            </w:r>
          </w:p>
        </w:tc>
        <w:tc>
          <w:tcPr>
            <w:tcW w:w="591"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344 400,00</w:t>
            </w:r>
          </w:p>
        </w:tc>
      </w:tr>
      <w:tr w:rsidR="00907744" w:rsidRPr="00907744" w:rsidTr="00D0633C">
        <w:tc>
          <w:tcPr>
            <w:tcW w:w="185" w:type="pct"/>
          </w:tcPr>
          <w:p w:rsidR="00907744" w:rsidRPr="00907744" w:rsidRDefault="00907744" w:rsidP="00FD15A3">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w:t>
            </w:r>
          </w:p>
        </w:tc>
        <w:tc>
          <w:tcPr>
            <w:tcW w:w="701" w:type="pct"/>
          </w:tcPr>
          <w:p w:rsidR="00907744" w:rsidRPr="00907744" w:rsidRDefault="00907744" w:rsidP="00D0633C">
            <w:pPr>
              <w:jc w:val="center"/>
              <w:rPr>
                <w:rFonts w:ascii="Times New Roman" w:hAnsi="Times New Roman" w:cs="Times New Roman"/>
                <w:sz w:val="24"/>
                <w:szCs w:val="24"/>
              </w:rPr>
            </w:pPr>
            <w:r w:rsidRPr="00907744">
              <w:rPr>
                <w:rFonts w:ascii="Times New Roman" w:hAnsi="Times New Roman" w:cs="Times New Roman"/>
                <w:sz w:val="24"/>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2493" w:type="pct"/>
          </w:tcPr>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 должна соответствовать следующим характеристикам: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ширина сиденья 27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глубина сиденья 22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высота подлокотника 18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высота подножки 27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Спинка и сиденье кресла-коляски должны быть с регулируемым углом наклона.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Подлокотники кресла-коляски должны регулироваться по высоте.</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Подножка кресла-коляски должна регулироваться по высоте.</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xml:space="preserve">Кресло-коляска должна быть оборудована приспособлениями: </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подголовник;</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боковые опоры для головы и тела;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поясничным валиком;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валик или ремень для сохранения зазора между ногами;</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держателями для ног;</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нагрудным ремнем;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поясной ремень.</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Кресло-коляска должна быть предназначена для пользователя с объемом бедер 52 см.</w:t>
            </w:r>
          </w:p>
        </w:tc>
        <w:tc>
          <w:tcPr>
            <w:tcW w:w="33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1</w:t>
            </w:r>
          </w:p>
        </w:tc>
        <w:tc>
          <w:tcPr>
            <w:tcW w:w="22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Шт.</w:t>
            </w:r>
          </w:p>
        </w:tc>
        <w:tc>
          <w:tcPr>
            <w:tcW w:w="463"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344 400,00</w:t>
            </w:r>
          </w:p>
        </w:tc>
        <w:tc>
          <w:tcPr>
            <w:tcW w:w="591"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344 400,00</w:t>
            </w:r>
          </w:p>
        </w:tc>
      </w:tr>
      <w:tr w:rsidR="00907744" w:rsidRPr="00907744" w:rsidTr="00D0633C">
        <w:tc>
          <w:tcPr>
            <w:tcW w:w="185" w:type="pct"/>
          </w:tcPr>
          <w:p w:rsidR="00907744" w:rsidRPr="00907744" w:rsidRDefault="00907744" w:rsidP="00FD15A3">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lastRenderedPageBreak/>
              <w:t>4.</w:t>
            </w:r>
          </w:p>
        </w:tc>
        <w:tc>
          <w:tcPr>
            <w:tcW w:w="701" w:type="pct"/>
          </w:tcPr>
          <w:p w:rsidR="00907744" w:rsidRPr="00907744" w:rsidRDefault="00907744" w:rsidP="00D0633C">
            <w:pPr>
              <w:jc w:val="center"/>
              <w:rPr>
                <w:rFonts w:ascii="Times New Roman" w:hAnsi="Times New Roman" w:cs="Times New Roman"/>
                <w:sz w:val="24"/>
                <w:szCs w:val="24"/>
              </w:rPr>
            </w:pPr>
            <w:r w:rsidRPr="00907744">
              <w:rPr>
                <w:rFonts w:ascii="Times New Roman" w:hAnsi="Times New Roman" w:cs="Times New Roman"/>
                <w:sz w:val="24"/>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2493" w:type="pct"/>
          </w:tcPr>
          <w:p w:rsidR="00907744" w:rsidRPr="00907744" w:rsidRDefault="00907744" w:rsidP="00907744">
            <w:pPr>
              <w:keepNext/>
              <w:keepLines/>
              <w:jc w:val="both"/>
              <w:rPr>
                <w:rFonts w:ascii="Times New Roman" w:hAnsi="Times New Roman" w:cs="Times New Roman"/>
                <w:b/>
                <w:sz w:val="24"/>
                <w:szCs w:val="24"/>
              </w:rPr>
            </w:pPr>
            <w:r w:rsidRPr="00907744">
              <w:rPr>
                <w:rFonts w:ascii="Times New Roman" w:hAnsi="Times New Roman" w:cs="Times New Roman"/>
                <w:sz w:val="24"/>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 должна соответствовать следующим характеристикам: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ширина сиденья 37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глубина сиденья 30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высота подножки 27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Спинка и сиденье кресла-коляски должны быть с регулируемым углом наклона.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Подлокотники кресла-коляски должны регулироваться по высоте.</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Подножка кресла-коляски должна быть с регулируемой опорой стопы.</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xml:space="preserve">Кресло-коляска должна быть оборудована приспособлениями: </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подголовник;</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боковые опоры для головы и тела;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поясничным валиком;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валик или ремень для сохранения зазора между ногами;</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держателями для ног;</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нагрудным ремнем;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поясной ремень.</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Кресло-коляска должна быть предназначена для пользователя с объемом бедер 73 см.</w:t>
            </w:r>
          </w:p>
        </w:tc>
        <w:tc>
          <w:tcPr>
            <w:tcW w:w="33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1</w:t>
            </w:r>
          </w:p>
        </w:tc>
        <w:tc>
          <w:tcPr>
            <w:tcW w:w="22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Шт.</w:t>
            </w:r>
          </w:p>
        </w:tc>
        <w:tc>
          <w:tcPr>
            <w:tcW w:w="463"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371 400,00</w:t>
            </w:r>
          </w:p>
        </w:tc>
        <w:tc>
          <w:tcPr>
            <w:tcW w:w="591"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371 400,00</w:t>
            </w:r>
          </w:p>
        </w:tc>
      </w:tr>
      <w:tr w:rsidR="00907744" w:rsidRPr="00907744" w:rsidTr="00D0633C">
        <w:tc>
          <w:tcPr>
            <w:tcW w:w="185" w:type="pct"/>
          </w:tcPr>
          <w:p w:rsidR="00907744" w:rsidRPr="00907744" w:rsidRDefault="00907744" w:rsidP="00FD15A3">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5.</w:t>
            </w:r>
          </w:p>
        </w:tc>
        <w:tc>
          <w:tcPr>
            <w:tcW w:w="701" w:type="pct"/>
          </w:tcPr>
          <w:p w:rsidR="00907744" w:rsidRPr="00907744" w:rsidRDefault="00907744" w:rsidP="00D0633C">
            <w:pPr>
              <w:jc w:val="center"/>
              <w:rPr>
                <w:rFonts w:ascii="Times New Roman" w:hAnsi="Times New Roman" w:cs="Times New Roman"/>
                <w:sz w:val="24"/>
                <w:szCs w:val="24"/>
              </w:rPr>
            </w:pPr>
            <w:r w:rsidRPr="00907744">
              <w:rPr>
                <w:rFonts w:ascii="Times New Roman" w:hAnsi="Times New Roman" w:cs="Times New Roman"/>
                <w:sz w:val="24"/>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2493" w:type="pct"/>
          </w:tcPr>
          <w:p w:rsidR="00907744" w:rsidRPr="00907744" w:rsidRDefault="00907744" w:rsidP="00907744">
            <w:pPr>
              <w:keepNext/>
              <w:keepLines/>
              <w:jc w:val="both"/>
              <w:rPr>
                <w:rFonts w:ascii="Times New Roman" w:hAnsi="Times New Roman" w:cs="Times New Roman"/>
                <w:b/>
                <w:sz w:val="24"/>
                <w:szCs w:val="24"/>
              </w:rPr>
            </w:pPr>
            <w:r w:rsidRPr="00907744">
              <w:rPr>
                <w:rFonts w:ascii="Times New Roman" w:hAnsi="Times New Roman" w:cs="Times New Roman"/>
                <w:sz w:val="24"/>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 должна соответствовать следующим характеристикам: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ширина сиденья 22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глубина сиденья 21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высота подлокотника 15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высота подножки 16 +/- 1 см.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Спинка и сиденье кресла-коляски должны быть с регулируемым углом наклона.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Подлокотники кресла-коляски должны регулироваться по высоте.</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Подножка кресла-коляски должна быть с регулируемой опорой стопы.</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xml:space="preserve">Кресло-коляска должна быть оборудована приспособлениями: </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подголовник;</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боковые опоры для головы и тела;</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lastRenderedPageBreak/>
              <w:t>- поясничным валиком;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валик или ремень для сохранения зазора между ногами;</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держателями для ног;</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ремнем для пятки;</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нагрудным ремнем;</w:t>
            </w:r>
          </w:p>
          <w:p w:rsidR="00907744" w:rsidRPr="00907744" w:rsidRDefault="00907744" w:rsidP="00907744">
            <w:pPr>
              <w:keepNext/>
              <w:keepLines/>
              <w:jc w:val="both"/>
              <w:rPr>
                <w:rFonts w:ascii="Times New Roman" w:hAnsi="Times New Roman" w:cs="Times New Roman"/>
                <w:sz w:val="24"/>
                <w:szCs w:val="24"/>
              </w:rPr>
            </w:pPr>
            <w:r w:rsidRPr="00907744">
              <w:rPr>
                <w:rFonts w:ascii="Times New Roman" w:hAnsi="Times New Roman" w:cs="Times New Roman"/>
                <w:sz w:val="24"/>
                <w:szCs w:val="24"/>
              </w:rPr>
              <w:t>- поясной ремень.</w:t>
            </w:r>
          </w:p>
        </w:tc>
        <w:tc>
          <w:tcPr>
            <w:tcW w:w="33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lastRenderedPageBreak/>
              <w:t>1</w:t>
            </w:r>
          </w:p>
        </w:tc>
        <w:tc>
          <w:tcPr>
            <w:tcW w:w="22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Шт.</w:t>
            </w:r>
          </w:p>
        </w:tc>
        <w:tc>
          <w:tcPr>
            <w:tcW w:w="463"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344 400,00</w:t>
            </w:r>
          </w:p>
        </w:tc>
        <w:tc>
          <w:tcPr>
            <w:tcW w:w="591"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sz w:val="24"/>
                <w:szCs w:val="24"/>
              </w:rPr>
              <w:t>344 400,00</w:t>
            </w:r>
          </w:p>
        </w:tc>
      </w:tr>
      <w:tr w:rsidR="00907744" w:rsidRPr="00907744" w:rsidTr="00D0633C">
        <w:tc>
          <w:tcPr>
            <w:tcW w:w="3380" w:type="pct"/>
            <w:gridSpan w:val="3"/>
          </w:tcPr>
          <w:p w:rsidR="00907744" w:rsidRPr="00907744" w:rsidRDefault="00907744" w:rsidP="00D0633C">
            <w:pPr>
              <w:keepNext/>
              <w:keepLines/>
              <w:rPr>
                <w:rFonts w:ascii="Times New Roman" w:hAnsi="Times New Roman" w:cs="Times New Roman"/>
                <w:sz w:val="24"/>
                <w:szCs w:val="24"/>
              </w:rPr>
            </w:pPr>
            <w:r w:rsidRPr="00907744">
              <w:rPr>
                <w:rFonts w:ascii="Times New Roman" w:hAnsi="Times New Roman" w:cs="Times New Roman"/>
                <w:b/>
                <w:sz w:val="24"/>
                <w:szCs w:val="24"/>
              </w:rPr>
              <w:t>ИТ</w:t>
            </w:r>
            <w:bookmarkStart w:id="0" w:name="_GoBack"/>
            <w:bookmarkEnd w:id="0"/>
            <w:r w:rsidRPr="00907744">
              <w:rPr>
                <w:rFonts w:ascii="Times New Roman" w:hAnsi="Times New Roman" w:cs="Times New Roman"/>
                <w:b/>
                <w:sz w:val="24"/>
                <w:szCs w:val="24"/>
              </w:rPr>
              <w:t>ОГО:</w:t>
            </w:r>
          </w:p>
        </w:tc>
        <w:tc>
          <w:tcPr>
            <w:tcW w:w="338"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b/>
                <w:sz w:val="24"/>
                <w:szCs w:val="24"/>
              </w:rPr>
              <w:t>5</w:t>
            </w:r>
          </w:p>
        </w:tc>
        <w:tc>
          <w:tcPr>
            <w:tcW w:w="228" w:type="pct"/>
          </w:tcPr>
          <w:p w:rsidR="00907744" w:rsidRPr="00907744" w:rsidRDefault="00907744" w:rsidP="00F11860">
            <w:pPr>
              <w:keepLines/>
              <w:widowControl w:val="0"/>
              <w:jc w:val="center"/>
              <w:rPr>
                <w:rFonts w:ascii="Times New Roman" w:hAnsi="Times New Roman" w:cs="Times New Roman"/>
                <w:sz w:val="24"/>
                <w:szCs w:val="24"/>
              </w:rPr>
            </w:pPr>
          </w:p>
        </w:tc>
        <w:tc>
          <w:tcPr>
            <w:tcW w:w="463" w:type="pct"/>
          </w:tcPr>
          <w:p w:rsidR="00907744" w:rsidRPr="00907744" w:rsidRDefault="00907744" w:rsidP="00F11860">
            <w:pPr>
              <w:keepLines/>
              <w:widowControl w:val="0"/>
              <w:jc w:val="center"/>
              <w:rPr>
                <w:rFonts w:ascii="Times New Roman" w:hAnsi="Times New Roman" w:cs="Times New Roman"/>
                <w:sz w:val="24"/>
                <w:szCs w:val="24"/>
              </w:rPr>
            </w:pPr>
          </w:p>
        </w:tc>
        <w:tc>
          <w:tcPr>
            <w:tcW w:w="591" w:type="pct"/>
          </w:tcPr>
          <w:p w:rsidR="00907744" w:rsidRPr="00907744" w:rsidRDefault="00907744" w:rsidP="00F11860">
            <w:pPr>
              <w:keepLines/>
              <w:widowControl w:val="0"/>
              <w:jc w:val="center"/>
              <w:rPr>
                <w:rFonts w:ascii="Times New Roman" w:hAnsi="Times New Roman" w:cs="Times New Roman"/>
                <w:sz w:val="24"/>
                <w:szCs w:val="24"/>
              </w:rPr>
            </w:pPr>
            <w:r w:rsidRPr="00907744">
              <w:rPr>
                <w:rFonts w:ascii="Times New Roman" w:hAnsi="Times New Roman" w:cs="Times New Roman"/>
                <w:b/>
                <w:sz w:val="24"/>
                <w:szCs w:val="24"/>
              </w:rPr>
              <w:t>1 726 000,00</w:t>
            </w:r>
          </w:p>
        </w:tc>
      </w:tr>
    </w:tbl>
    <w:p w:rsidR="00907744" w:rsidRPr="00907744" w:rsidRDefault="00907744" w:rsidP="00907744">
      <w:pPr>
        <w:widowControl w:val="0"/>
        <w:spacing w:after="0" w:line="240" w:lineRule="auto"/>
        <w:ind w:firstLine="709"/>
        <w:jc w:val="center"/>
        <w:rPr>
          <w:rFonts w:ascii="Times New Roman" w:hAnsi="Times New Roman" w:cs="Times New Roman"/>
          <w:b/>
          <w:sz w:val="24"/>
          <w:szCs w:val="24"/>
        </w:rPr>
      </w:pPr>
      <w:r w:rsidRPr="00907744">
        <w:rPr>
          <w:rFonts w:ascii="Times New Roman" w:hAnsi="Times New Roman" w:cs="Times New Roman"/>
          <w:b/>
          <w:sz w:val="24"/>
          <w:szCs w:val="24"/>
        </w:rPr>
        <w:t>Техническое описание.</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Эргономика кресло-коляски должна обеспечивать удобное размещение в ней пользователя и свободу движений последнего при перемещениях. Конструкция кресло-коляски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 Кресло-коляска должна соответствовать требованиям государственных стандартов, технических условий. Кресло-коляска должна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Кресло-коляска должна быть оборудована системой торможения, обеспечивающей удержание кресла-коляски с пользователем в неподвижном состоянии.</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Материалы, применяемые для изготовления товара, не должны содержать ядовитых (токсичных) компонентов, а также не должны воздействовать на цвет поверхности (пола, одежды, кожи пользователя), с которым контактируют те и иные детали при его нормальной эксплуатации.</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Наружные поверхности товара должны быть устойчивы к воздействию 1 %-</w:t>
      </w:r>
      <w:proofErr w:type="spellStart"/>
      <w:r w:rsidRPr="00907744">
        <w:rPr>
          <w:rFonts w:ascii="Times New Roman" w:hAnsi="Times New Roman" w:cs="Times New Roman"/>
          <w:sz w:val="24"/>
          <w:szCs w:val="24"/>
        </w:rPr>
        <w:t>ного</w:t>
      </w:r>
      <w:proofErr w:type="spellEnd"/>
      <w:r w:rsidRPr="00907744">
        <w:rPr>
          <w:rFonts w:ascii="Times New Roman" w:hAnsi="Times New Roman" w:cs="Times New Roman"/>
          <w:sz w:val="24"/>
          <w:szCs w:val="24"/>
        </w:rPr>
        <w:t xml:space="preserve"> раствора монохлорамина ХБ по ГОСТ 14193-78 и растворов моющих средств, применяемых при дезинфекции.</w:t>
      </w:r>
    </w:p>
    <w:p w:rsidR="00907744" w:rsidRPr="00907744" w:rsidRDefault="00907744" w:rsidP="00907744">
      <w:pPr>
        <w:widowControl w:val="0"/>
        <w:spacing w:after="0" w:line="240" w:lineRule="auto"/>
        <w:ind w:firstLine="709"/>
        <w:jc w:val="both"/>
        <w:rPr>
          <w:rFonts w:ascii="Times New Roman" w:hAnsi="Times New Roman" w:cs="Times New Roman"/>
          <w:bCs/>
          <w:sz w:val="24"/>
          <w:szCs w:val="24"/>
        </w:rPr>
      </w:pPr>
      <w:r w:rsidRPr="00907744">
        <w:rPr>
          <w:rFonts w:ascii="Times New Roman" w:hAnsi="Times New Roman" w:cs="Times New Roman"/>
          <w:bCs/>
          <w:sz w:val="24"/>
          <w:szCs w:val="24"/>
        </w:rPr>
        <w:t>Товар должен быть новым, свободным от прав третьих лиц.</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Кресло-коляска должна иметь действующее регистрационное удостоверение, выданное Федеральной службой по надзору в сфере здравоохранения.</w:t>
      </w:r>
    </w:p>
    <w:p w:rsidR="00907744" w:rsidRPr="00907744" w:rsidRDefault="00907744" w:rsidP="00907744">
      <w:pPr>
        <w:widowControl w:val="0"/>
        <w:spacing w:after="0" w:line="240" w:lineRule="auto"/>
        <w:ind w:firstLine="709"/>
        <w:jc w:val="both"/>
        <w:rPr>
          <w:rFonts w:ascii="Times New Roman" w:hAnsi="Times New Roman" w:cs="Times New Roman"/>
          <w:i/>
          <w:sz w:val="24"/>
          <w:szCs w:val="24"/>
        </w:rPr>
      </w:pPr>
      <w:r w:rsidRPr="00907744">
        <w:rPr>
          <w:rFonts w:ascii="Times New Roman" w:hAnsi="Times New Roman" w:cs="Times New Roman"/>
          <w:sz w:val="24"/>
          <w:szCs w:val="24"/>
        </w:rPr>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w:t>
      </w:r>
      <w:r w:rsidRPr="00907744">
        <w:rPr>
          <w:rFonts w:ascii="Times New Roman" w:hAnsi="Times New Roman" w:cs="Times New Roman"/>
          <w:i/>
          <w:sz w:val="24"/>
          <w:szCs w:val="24"/>
        </w:rPr>
        <w:t xml:space="preserve"> приказом Министерства труда и социальной защиты Российской Федерации от 05 марта 2021 № 107н "Об утверждении Сроков пользования техническими средствами реабилитации, протезами и протезно-ортопедическими изделиями".</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Маркировка Товара должна содержать:</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наименование изготовителя;</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адрес изготовителя;</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обозначение типа (модели) кресла-коляски (в зависимости от модификации):</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артикул модификации кресла-коляски;</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серийный номер кресла-коляски;</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дату выпуска (месяц, год)</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максимальную массу пользователя.</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xml:space="preserve">В комплект поставки входят: Товар в соответствующей модификации, инструкция для пользователя на русском языке, инструмент и принадлежности, обеспечивающие техническое обслуживание в течение срока службы, гарантийный талон, дающий право на бесплатный ремонт </w:t>
      </w:r>
      <w:r w:rsidRPr="00907744">
        <w:rPr>
          <w:rFonts w:ascii="Times New Roman" w:hAnsi="Times New Roman" w:cs="Times New Roman"/>
          <w:sz w:val="24"/>
          <w:szCs w:val="24"/>
        </w:rPr>
        <w:lastRenderedPageBreak/>
        <w:t xml:space="preserve">во время гарантийного срока (с отметкой о произведенной проверке контроля качества). </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Упаковка Товара должна обеспечивать защиту от воздействия механических и климатических факторов во время транспортирования, хранения и удобство выполнения погрузочно-разгрузочных работ.</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xml:space="preserve">Гарантийный срок Товара должен составлять не менее 24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w:t>
      </w:r>
    </w:p>
    <w:p w:rsidR="00907744" w:rsidRPr="00907744" w:rsidRDefault="00907744" w:rsidP="00907744">
      <w:pPr>
        <w:widowControl w:val="0"/>
        <w:spacing w:after="0" w:line="240" w:lineRule="auto"/>
        <w:ind w:firstLine="709"/>
        <w:jc w:val="both"/>
        <w:rPr>
          <w:rFonts w:ascii="Times New Roman" w:hAnsi="Times New Roman" w:cs="Times New Roman"/>
          <w:bCs/>
          <w:sz w:val="24"/>
          <w:szCs w:val="24"/>
        </w:rPr>
      </w:pPr>
      <w:r w:rsidRPr="00907744">
        <w:rPr>
          <w:rFonts w:ascii="Times New Roman" w:hAnsi="Times New Roman" w:cs="Times New Roman"/>
          <w:sz w:val="24"/>
          <w:szCs w:val="24"/>
        </w:rPr>
        <w:t>Гарантийный срок эксплуатации покрышек передних и задних колес должен составлять не менее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замены либо безвозмездного устранения недостатков изделия (гарантийного ремонта) со дня обращения Получателя не должен превышать 20 рабочих дней.</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Обязательно наличие стационарного места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Место поставки товара: Краснодарский край:</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rsidR="00907744" w:rsidRPr="00907744" w:rsidRDefault="00907744" w:rsidP="00907744">
      <w:pPr>
        <w:widowControl w:val="0"/>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Сроки (периоды) поставки товара: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31.10.2022.</w:t>
      </w:r>
    </w:p>
    <w:p w:rsidR="00907744" w:rsidRPr="00907744" w:rsidRDefault="00907744" w:rsidP="00907744">
      <w:pPr>
        <w:widowControl w:val="0"/>
        <w:tabs>
          <w:tab w:val="left" w:pos="3828"/>
          <w:tab w:val="center" w:pos="5244"/>
        </w:tabs>
        <w:spacing w:after="0" w:line="240" w:lineRule="auto"/>
        <w:ind w:firstLine="709"/>
        <w:jc w:val="both"/>
        <w:rPr>
          <w:rFonts w:ascii="Times New Roman" w:hAnsi="Times New Roman" w:cs="Times New Roman"/>
          <w:sz w:val="24"/>
          <w:szCs w:val="24"/>
        </w:rPr>
      </w:pPr>
      <w:r w:rsidRPr="00907744">
        <w:rPr>
          <w:rFonts w:ascii="Times New Roman" w:hAnsi="Times New Roman" w:cs="Times New Roman"/>
          <w:sz w:val="24"/>
          <w:szCs w:val="24"/>
        </w:rPr>
        <w:t>В течение 60 (</w:t>
      </w:r>
      <w:r w:rsidRPr="00907744">
        <w:rPr>
          <w:rFonts w:ascii="Times New Roman" w:hAnsi="Times New Roman" w:cs="Times New Roman"/>
          <w:color w:val="000000"/>
          <w:sz w:val="24"/>
          <w:szCs w:val="24"/>
        </w:rPr>
        <w:t>Шестидесяти</w:t>
      </w:r>
      <w:r w:rsidRPr="00907744">
        <w:rPr>
          <w:rFonts w:ascii="Times New Roman" w:hAnsi="Times New Roman" w:cs="Times New Roman"/>
          <w:sz w:val="24"/>
          <w:szCs w:val="24"/>
        </w:rPr>
        <w:t>) календарных дней с даты подписания Контракта предоставить на склад Поставщика, расположенный на территории Краснодарского края, 100% от общего количества Товара.</w:t>
      </w:r>
    </w:p>
    <w:p w:rsidR="00907744" w:rsidRDefault="00907744" w:rsidP="00907744">
      <w:pPr>
        <w:keepLines/>
        <w:widowControl w:val="0"/>
        <w:tabs>
          <w:tab w:val="left" w:pos="3828"/>
          <w:tab w:val="center" w:pos="5244"/>
        </w:tabs>
        <w:jc w:val="both"/>
      </w:pPr>
    </w:p>
    <w:p w:rsidR="00676C84" w:rsidRPr="00932AAE" w:rsidRDefault="00676C84" w:rsidP="00932AAE">
      <w:pPr>
        <w:keepLines/>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p>
    <w:sectPr w:rsidR="00676C84" w:rsidRPr="00932AAE" w:rsidSect="00F65A57">
      <w:pgSz w:w="16838" w:h="11906" w:orient="landscape"/>
      <w:pgMar w:top="851" w:right="536"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3C" w:rsidRDefault="006A573C" w:rsidP="006A573C">
      <w:pPr>
        <w:spacing w:after="0" w:line="240" w:lineRule="auto"/>
      </w:pPr>
      <w:r>
        <w:separator/>
      </w:r>
    </w:p>
  </w:endnote>
  <w:endnote w:type="continuationSeparator" w:id="0">
    <w:p w:rsidR="006A573C" w:rsidRDefault="006A573C" w:rsidP="006A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3C" w:rsidRDefault="006A573C" w:rsidP="006A573C">
      <w:pPr>
        <w:spacing w:after="0" w:line="240" w:lineRule="auto"/>
      </w:pPr>
      <w:r>
        <w:separator/>
      </w:r>
    </w:p>
  </w:footnote>
  <w:footnote w:type="continuationSeparator" w:id="0">
    <w:p w:rsidR="006A573C" w:rsidRDefault="006A573C" w:rsidP="006A573C">
      <w:pPr>
        <w:spacing w:after="0" w:line="240" w:lineRule="auto"/>
      </w:pPr>
      <w:r>
        <w:continuationSeparator/>
      </w:r>
    </w:p>
  </w:footnote>
  <w:footnote w:id="1">
    <w:p w:rsidR="00907744" w:rsidRDefault="00907744" w:rsidP="00907744">
      <w:pPr>
        <w:pStyle w:val="a4"/>
      </w:pPr>
      <w:r>
        <w:rPr>
          <w:rStyle w:val="a6"/>
        </w:rPr>
        <w:footnoteRef/>
      </w:r>
      <w:r>
        <w:t xml:space="preserve"> Не более</w:t>
      </w:r>
    </w:p>
  </w:footnote>
  <w:footnote w:id="2">
    <w:p w:rsidR="00907744" w:rsidRDefault="00907744" w:rsidP="00907744">
      <w:pPr>
        <w:pStyle w:val="a4"/>
      </w:pPr>
      <w:r>
        <w:rPr>
          <w:rStyle w:val="a6"/>
        </w:rPr>
        <w:footnoteRef/>
      </w:r>
      <w:r>
        <w:t xml:space="preserve"> Не более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A0"/>
    <w:rsid w:val="000A1CC4"/>
    <w:rsid w:val="00166061"/>
    <w:rsid w:val="001C2C65"/>
    <w:rsid w:val="00236A7A"/>
    <w:rsid w:val="003545BF"/>
    <w:rsid w:val="0036794B"/>
    <w:rsid w:val="00500B28"/>
    <w:rsid w:val="005649B8"/>
    <w:rsid w:val="005C2544"/>
    <w:rsid w:val="005D0064"/>
    <w:rsid w:val="00644BE1"/>
    <w:rsid w:val="00676C84"/>
    <w:rsid w:val="006A573C"/>
    <w:rsid w:val="006B19C6"/>
    <w:rsid w:val="006D4A55"/>
    <w:rsid w:val="00736D00"/>
    <w:rsid w:val="007A3DCE"/>
    <w:rsid w:val="00832252"/>
    <w:rsid w:val="00907744"/>
    <w:rsid w:val="00932AAE"/>
    <w:rsid w:val="00AB3EA0"/>
    <w:rsid w:val="00AF3A5F"/>
    <w:rsid w:val="00B622F8"/>
    <w:rsid w:val="00D0633C"/>
    <w:rsid w:val="00D43FFE"/>
    <w:rsid w:val="00E10753"/>
    <w:rsid w:val="00F11860"/>
    <w:rsid w:val="00F31849"/>
    <w:rsid w:val="00F65A57"/>
    <w:rsid w:val="00FA34B9"/>
    <w:rsid w:val="00FD15A3"/>
    <w:rsid w:val="00FF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8AA4A-41F8-46A8-99E6-74A4EBEA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A573C"/>
    <w:pPr>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uiPriority w:val="99"/>
    <w:semiHidden/>
    <w:rsid w:val="006A573C"/>
    <w:rPr>
      <w:rFonts w:ascii="Times New Roman" w:eastAsia="Times New Roman" w:hAnsi="Times New Roman" w:cs="Times New Roman"/>
      <w:sz w:val="20"/>
      <w:szCs w:val="20"/>
      <w:lang w:eastAsia="ar-SA"/>
    </w:rPr>
  </w:style>
  <w:style w:type="character" w:styleId="a6">
    <w:name w:val="footnote reference"/>
    <w:basedOn w:val="a0"/>
    <w:uiPriority w:val="99"/>
    <w:semiHidden/>
    <w:unhideWhenUsed/>
    <w:rsid w:val="006A5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Беседа Юлия Валерьевна</dc:creator>
  <cp:keywords/>
  <dc:description/>
  <cp:lastModifiedBy>Лысова Нелли Владимировна</cp:lastModifiedBy>
  <cp:revision>31</cp:revision>
  <dcterms:created xsi:type="dcterms:W3CDTF">2021-11-02T13:20:00Z</dcterms:created>
  <dcterms:modified xsi:type="dcterms:W3CDTF">2022-05-23T13:43:00Z</dcterms:modified>
</cp:coreProperties>
</file>