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C57203" w:rsidRDefault="00815607" w:rsidP="00C57203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C5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C57203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C57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C57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C57203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C57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CA9" w:rsidRPr="00C57203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C57203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C57203">
        <w:rPr>
          <w:rFonts w:ascii="Times New Roman" w:hAnsi="Times New Roman" w:cs="Times New Roman"/>
          <w:color w:val="000000"/>
          <w:sz w:val="24"/>
          <w:szCs w:val="24"/>
        </w:rPr>
        <w:t>опорно-двигательного аппарата, эндокринной системы, нервной системы, органов дыхания</w:t>
      </w:r>
      <w:r w:rsidR="00026F67" w:rsidRPr="00C57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C57203" w:rsidRDefault="00815607" w:rsidP="00C57203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C57203" w:rsidRDefault="00815607" w:rsidP="00C57203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C572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C57203" w:rsidRDefault="00026F67" w:rsidP="00C57203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F42CA9" w:rsidRPr="00C57203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C57203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C57203">
        <w:rPr>
          <w:rFonts w:ascii="Times New Roman" w:hAnsi="Times New Roman" w:cs="Times New Roman"/>
          <w:color w:val="000000"/>
          <w:sz w:val="24"/>
          <w:szCs w:val="24"/>
        </w:rPr>
        <w:t>опорно-двигательного</w:t>
      </w:r>
      <w:r w:rsidR="005D4693"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аппарата, эндокринной системы</w:t>
      </w:r>
      <w:r w:rsidR="00F42CA9" w:rsidRPr="00C57203">
        <w:rPr>
          <w:rFonts w:ascii="Times New Roman" w:hAnsi="Times New Roman" w:cs="Times New Roman"/>
          <w:color w:val="000000"/>
          <w:sz w:val="24"/>
          <w:szCs w:val="24"/>
        </w:rPr>
        <w:t>, нервной системы, органов дыхания</w:t>
      </w:r>
      <w:r w:rsidRPr="00C572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C57203" w:rsidRDefault="00815607" w:rsidP="00C57203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C57203">
        <w:rPr>
          <w:rFonts w:cs="Times New Roman"/>
        </w:rPr>
        <w:t>Место</w:t>
      </w:r>
      <w:r w:rsidR="00216CA0" w:rsidRPr="00C57203">
        <w:rPr>
          <w:rFonts w:cs="Times New Roman"/>
        </w:rPr>
        <w:t xml:space="preserve"> </w:t>
      </w:r>
      <w:r w:rsidRPr="00C57203">
        <w:rPr>
          <w:rFonts w:cs="Times New Roman"/>
        </w:rPr>
        <w:t>оказания</w:t>
      </w:r>
      <w:r w:rsidR="00216CA0" w:rsidRPr="00C57203">
        <w:rPr>
          <w:rFonts w:cs="Times New Roman"/>
        </w:rPr>
        <w:t xml:space="preserve"> </w:t>
      </w:r>
      <w:r w:rsidRPr="00C57203">
        <w:rPr>
          <w:rFonts w:cs="Times New Roman"/>
        </w:rPr>
        <w:t xml:space="preserve">услуг: Российская Федерация, </w:t>
      </w:r>
      <w:r w:rsidR="00B30573" w:rsidRPr="00C57203">
        <w:rPr>
          <w:rFonts w:eastAsia="Times New Roman CYR" w:cs="Times New Roman"/>
          <w:bCs/>
          <w:iCs/>
          <w:color w:val="000000"/>
          <w:spacing w:val="-2"/>
        </w:rPr>
        <w:t xml:space="preserve">Краснодарский край, курорт </w:t>
      </w:r>
      <w:r w:rsidR="0096099C" w:rsidRPr="00C57203">
        <w:rPr>
          <w:rFonts w:eastAsia="Times New Roman CYR" w:cs="Times New Roman"/>
          <w:bCs/>
          <w:iCs/>
          <w:color w:val="000000"/>
          <w:spacing w:val="-2"/>
        </w:rPr>
        <w:t>Анапа</w:t>
      </w:r>
      <w:r w:rsidRPr="00C57203">
        <w:rPr>
          <w:rFonts w:eastAsia="Times New Roman CYR" w:cs="Times New Roman"/>
          <w:color w:val="000000"/>
          <w:spacing w:val="-2"/>
        </w:rPr>
        <w:t>.</w:t>
      </w:r>
    </w:p>
    <w:p w:rsidR="00D57FC8" w:rsidRPr="00C57203" w:rsidRDefault="00D57FC8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C57203" w:rsidRDefault="00F42CA9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C57203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01.05.2023г. и не позднее 21.11.2023г.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C57203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C57203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C57203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203">
        <w:rPr>
          <w:rFonts w:ascii="Times New Roman" w:hAnsi="Times New Roman" w:cs="Times New Roman"/>
          <w:sz w:val="24"/>
          <w:szCs w:val="24"/>
        </w:rPr>
        <w:t>в весенний период  - не более 20% от общего количества;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- в летний период                 - не менее 50% от общего количества;</w:t>
      </w:r>
    </w:p>
    <w:p w:rsidR="00C57203" w:rsidRPr="00C57203" w:rsidRDefault="00C57203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C57203" w:rsidRDefault="000A0816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F42CA9" w:rsidRPr="00C57203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C572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C57203" w:rsidRDefault="00815607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F42CA9" w:rsidRPr="00C57203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C5720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C572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C57203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C572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57203" w:rsidRPr="00C5720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42CA9" w:rsidRPr="00C57203">
        <w:rPr>
          <w:rFonts w:ascii="Times New Roman" w:eastAsia="Times New Roman" w:hAnsi="Times New Roman" w:cs="Times New Roman"/>
          <w:sz w:val="24"/>
          <w:szCs w:val="24"/>
        </w:rPr>
        <w:t xml:space="preserve"> койко-д</w:t>
      </w:r>
      <w:r w:rsidR="00C57203" w:rsidRPr="00C57203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F42CA9" w:rsidRPr="00C572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5D7C" w:rsidRPr="00C57203" w:rsidRDefault="00CC5D7C" w:rsidP="00C57203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C57203" w:rsidRDefault="00D57FC8" w:rsidP="00C57203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С</w:t>
      </w:r>
      <w:r w:rsidRPr="00C572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C57203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C5720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C57203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C57203" w:rsidRDefault="00D57FC8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С</w:t>
      </w:r>
      <w:r w:rsidRPr="00C57203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C57203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3707D1" w:rsidRPr="00C57203" w:rsidRDefault="003707D1" w:rsidP="00C5720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707D1" w:rsidRPr="00C57203" w:rsidRDefault="003707D1" w:rsidP="00C5720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7203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707D1" w:rsidRPr="00C57203" w:rsidRDefault="003707D1" w:rsidP="00C57203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707D1" w:rsidRPr="00C57203" w:rsidRDefault="003707D1" w:rsidP="00C57203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3707D1" w:rsidRPr="00C57203" w:rsidRDefault="003707D1" w:rsidP="00C5720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7203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707D1" w:rsidRPr="00C57203" w:rsidRDefault="003707D1" w:rsidP="00C5720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7203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>»;</w:t>
      </w:r>
    </w:p>
    <w:p w:rsidR="003707D1" w:rsidRPr="00C57203" w:rsidRDefault="003707D1" w:rsidP="00C57203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3707D1" w:rsidRPr="00C57203" w:rsidRDefault="003707D1" w:rsidP="00C57203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03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C57203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C57203" w:rsidRPr="00C57203" w:rsidRDefault="00C57203" w:rsidP="00C57203">
      <w:pPr>
        <w:keepNext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№213 от 22.11.04г. «</w:t>
      </w:r>
      <w:r w:rsidRPr="00C57203">
        <w:rPr>
          <w:rFonts w:ascii="Times New Roman" w:hAnsi="Times New Roman" w:cs="Times New Roman"/>
          <w:color w:val="000000"/>
          <w:sz w:val="24"/>
          <w:szCs w:val="24"/>
        </w:rPr>
        <w:t>Об утверждении стандарта санаторно-курортной помощи больным детским церебральным параличом»;</w:t>
      </w:r>
    </w:p>
    <w:p w:rsidR="003707D1" w:rsidRPr="00C57203" w:rsidRDefault="003707D1" w:rsidP="00C57203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7203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707D1" w:rsidRPr="00C57203" w:rsidRDefault="003707D1" w:rsidP="00C57203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7203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707D1" w:rsidRPr="00C57203" w:rsidRDefault="003707D1" w:rsidP="00C57203">
      <w:pPr>
        <w:keepNext/>
        <w:keepLines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707D1" w:rsidRPr="00C57203" w:rsidRDefault="003707D1" w:rsidP="00C57203">
      <w:pPr>
        <w:keepNext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707D1" w:rsidRPr="00C57203" w:rsidRDefault="003707D1" w:rsidP="00C57203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C57203" w:rsidRDefault="00D57FC8" w:rsidP="00C5720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03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C5720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C57203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C57203" w:rsidRDefault="00D57FC8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C57203" w:rsidRDefault="00026F67" w:rsidP="00C57203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b w:val="0"/>
          <w:sz w:val="24"/>
          <w:szCs w:val="24"/>
        </w:rPr>
        <w:t xml:space="preserve">Размещение граждан, имеющих право на получение государственной социальной помощи в виде набора социальных </w:t>
      </w:r>
      <w:r w:rsidR="00C57203" w:rsidRPr="00C57203">
        <w:rPr>
          <w:rFonts w:ascii="Times New Roman" w:hAnsi="Times New Roman" w:cs="Times New Roman"/>
          <w:b w:val="0"/>
          <w:sz w:val="24"/>
          <w:szCs w:val="24"/>
        </w:rPr>
        <w:t>услуг и сопровождающих их лиц</w:t>
      </w:r>
      <w:r w:rsidRPr="00C57203">
        <w:rPr>
          <w:rFonts w:ascii="Times New Roman" w:hAnsi="Times New Roman" w:cs="Times New Roman"/>
          <w:b w:val="0"/>
          <w:sz w:val="24"/>
          <w:szCs w:val="24"/>
        </w:rPr>
        <w:t>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C57203" w:rsidRDefault="00026F67" w:rsidP="00C57203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C57203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C57203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C57203" w:rsidRDefault="00026F67" w:rsidP="00C57203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C57203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C57203" w:rsidRDefault="005D4693" w:rsidP="00C57203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C57203">
        <w:rPr>
          <w:rFonts w:ascii="Times New Roman" w:hAnsi="Times New Roman" w:cs="Times New Roman"/>
          <w:sz w:val="24"/>
          <w:szCs w:val="24"/>
        </w:rPr>
        <w:t>н</w:t>
      </w:r>
      <w:r w:rsidRPr="00C572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C57203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C57203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C57203" w:rsidRDefault="005D4693" w:rsidP="00C57203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C57203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  <w:r w:rsidRPr="00C572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03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lastRenderedPageBreak/>
        <w:t>- службой приема (круглосуточный прием);</w:t>
      </w:r>
    </w:p>
    <w:p w:rsidR="00026F67" w:rsidRPr="00C57203" w:rsidRDefault="00026F67" w:rsidP="00C5720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C57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203">
        <w:rPr>
          <w:rFonts w:ascii="Times New Roman" w:hAnsi="Times New Roman" w:cs="Times New Roman"/>
          <w:sz w:val="24"/>
          <w:szCs w:val="24"/>
        </w:rPr>
        <w:t>помещения.</w:t>
      </w:r>
    </w:p>
    <w:p w:rsidR="00C57203" w:rsidRPr="00C57203" w:rsidRDefault="00C57203" w:rsidP="00C57203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должен быть бесплатный </w:t>
      </w:r>
      <w:proofErr w:type="spellStart"/>
      <w:r w:rsidRPr="00C57203">
        <w:rPr>
          <w:rFonts w:ascii="Times New Roman" w:hAnsi="Times New Roman" w:cs="Times New Roman"/>
          <w:color w:val="000000"/>
          <w:sz w:val="24"/>
          <w:szCs w:val="24"/>
        </w:rPr>
        <w:t>трансфер</w:t>
      </w:r>
      <w:proofErr w:type="spellEnd"/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</w:r>
    </w:p>
    <w:p w:rsidR="00C57203" w:rsidRPr="00C57203" w:rsidRDefault="00C57203" w:rsidP="00C57203">
      <w:pPr>
        <w:keepNext/>
        <w:tabs>
          <w:tab w:val="left" w:pos="14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03">
        <w:rPr>
          <w:rFonts w:ascii="Times New Roman" w:hAnsi="Times New Roman" w:cs="Times New Roman"/>
          <w:sz w:val="24"/>
          <w:szCs w:val="24"/>
        </w:rPr>
        <w:t xml:space="preserve">Организация, оказывающая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— курортные услуги, должна соответствовать Своду правил СП 59.13330.2020 «Доступность зданий и сооружений для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групп населения» Актуализированная редакция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35-01-2001</w:t>
      </w:r>
      <w:r w:rsidRPr="00C57203">
        <w:rPr>
          <w:rFonts w:ascii="Times New Roman" w:hAnsi="Times New Roman" w:cs="Times New Roman"/>
          <w:color w:val="000000"/>
          <w:sz w:val="24"/>
          <w:szCs w:val="24"/>
        </w:rPr>
        <w:t xml:space="preserve"> (утв. </w:t>
      </w:r>
      <w:r w:rsidRPr="00C57203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30 декабря 2020г. N 904/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57203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C57203">
        <w:rPr>
          <w:rFonts w:ascii="Times New Roman" w:hAnsi="Times New Roman" w:cs="Times New Roman"/>
          <w:sz w:val="24"/>
          <w:szCs w:val="24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5D4693" w:rsidRPr="00C57203" w:rsidRDefault="005D4693" w:rsidP="00C57203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</w:pPr>
      <w:r w:rsidRPr="00C57203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травматологии и ортопедии, эндокринологии, неврологии, пульмонологии</w:t>
      </w:r>
      <w:r w:rsidR="00C57203" w:rsidRPr="00C57203">
        <w:t>, педиатрии</w:t>
      </w:r>
      <w:r w:rsidRPr="00C57203">
        <w:t>.</w:t>
      </w:r>
    </w:p>
    <w:p w:rsidR="00C339DE" w:rsidRPr="00C57203" w:rsidRDefault="00C339DE" w:rsidP="00C57203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</w:pPr>
      <w:r w:rsidRPr="00C57203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C57203" w:rsidRDefault="001573D2" w:rsidP="00C57203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C57203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C57203" w:rsidRDefault="00AC4B83" w:rsidP="00C57203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C57203" w:rsidRDefault="00AC4B83" w:rsidP="00C57203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C57203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C57203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C57203" w:rsidRDefault="00D57FC8" w:rsidP="00C57203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C57203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 аппарата, эндокринной системы, нервной системы, органов дыхания</w:t>
            </w:r>
            <w:r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C57203" w:rsidRDefault="00F42CA9" w:rsidP="00C57203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C57203" w:rsidRDefault="001573D2" w:rsidP="00C57203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C57203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1456"/>
    <w:rsid w:val="002F642E"/>
    <w:rsid w:val="003707D1"/>
    <w:rsid w:val="00396F01"/>
    <w:rsid w:val="003C57C2"/>
    <w:rsid w:val="003E2518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339DE"/>
    <w:rsid w:val="00C50B0A"/>
    <w:rsid w:val="00C57203"/>
    <w:rsid w:val="00C727ED"/>
    <w:rsid w:val="00C90F4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9</cp:revision>
  <cp:lastPrinted>2021-01-22T09:37:00Z</cp:lastPrinted>
  <dcterms:created xsi:type="dcterms:W3CDTF">2021-12-16T13:36:00Z</dcterms:created>
  <dcterms:modified xsi:type="dcterms:W3CDTF">2022-11-22T06:21:00Z</dcterms:modified>
</cp:coreProperties>
</file>