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893C54">
      <w:pPr>
        <w:keepLines/>
        <w:widowControl w:val="0"/>
        <w:jc w:val="center"/>
        <w:rPr>
          <w:b/>
          <w:szCs w:val="24"/>
        </w:rPr>
      </w:pPr>
      <w:r w:rsidRPr="00893C54">
        <w:rPr>
          <w:b/>
          <w:szCs w:val="24"/>
        </w:rPr>
        <w:t>Техническое задание</w:t>
      </w:r>
      <w:r w:rsidR="00BF7B4A" w:rsidRPr="00893C54">
        <w:rPr>
          <w:b/>
          <w:szCs w:val="24"/>
        </w:rPr>
        <w:t xml:space="preserve"> (описание объекта закупки и условия исполнения государственного контракта)</w:t>
      </w:r>
    </w:p>
    <w:p w14:paraId="6A37D848" w14:textId="77777777" w:rsidR="00FD35C9" w:rsidRPr="00893C54" w:rsidRDefault="00FD35C9" w:rsidP="00893C54">
      <w:pPr>
        <w:keepLines/>
        <w:widowControl w:val="0"/>
        <w:jc w:val="center"/>
        <w:rPr>
          <w:b/>
          <w:szCs w:val="24"/>
        </w:rPr>
      </w:pPr>
    </w:p>
    <w:p w14:paraId="79F51409" w14:textId="62A5C68C" w:rsidR="009E7C81" w:rsidRDefault="00006CC5" w:rsidP="00893C54">
      <w:pPr>
        <w:keepLines/>
        <w:widowControl w:val="0"/>
        <w:jc w:val="center"/>
        <w:rPr>
          <w:b/>
          <w:color w:val="auto"/>
          <w:szCs w:val="24"/>
          <w:lang w:eastAsia="en-US"/>
        </w:rPr>
      </w:pPr>
      <w:r w:rsidRPr="00006CC5">
        <w:rPr>
          <w:b/>
          <w:color w:val="auto"/>
          <w:szCs w:val="24"/>
          <w:lang w:eastAsia="en-US"/>
        </w:rPr>
        <w:t xml:space="preserve">Поставка катетеров для </w:t>
      </w:r>
      <w:proofErr w:type="spellStart"/>
      <w:r w:rsidRPr="00006CC5">
        <w:rPr>
          <w:b/>
          <w:color w:val="auto"/>
          <w:szCs w:val="24"/>
          <w:lang w:eastAsia="en-US"/>
        </w:rPr>
        <w:t>самокатетеризации</w:t>
      </w:r>
      <w:proofErr w:type="spellEnd"/>
      <w:r w:rsidRPr="00006CC5">
        <w:rPr>
          <w:b/>
          <w:color w:val="auto"/>
          <w:szCs w:val="24"/>
          <w:lang w:eastAsia="en-US"/>
        </w:rPr>
        <w:t xml:space="preserve"> </w:t>
      </w:r>
      <w:proofErr w:type="spellStart"/>
      <w:r w:rsidRPr="00006CC5">
        <w:rPr>
          <w:b/>
          <w:color w:val="auto"/>
          <w:szCs w:val="24"/>
          <w:lang w:eastAsia="en-US"/>
        </w:rPr>
        <w:t>лубрицированных</w:t>
      </w:r>
      <w:proofErr w:type="spellEnd"/>
      <w:r w:rsidRPr="00006CC5">
        <w:rPr>
          <w:b/>
          <w:color w:val="auto"/>
          <w:szCs w:val="24"/>
          <w:lang w:eastAsia="en-US"/>
        </w:rPr>
        <w:t xml:space="preserve"> (с зафиксированным гидрофильным покрытием) для инвалидов Краснодарского края в 2023 году</w:t>
      </w:r>
    </w:p>
    <w:p w14:paraId="10791996" w14:textId="77777777" w:rsidR="00006CC5" w:rsidRPr="00006CC5" w:rsidRDefault="00006CC5" w:rsidP="00893C54">
      <w:pPr>
        <w:keepLines/>
        <w:widowControl w:val="0"/>
        <w:jc w:val="center"/>
        <w:rPr>
          <w:b/>
          <w:szCs w:val="24"/>
        </w:rPr>
      </w:pPr>
    </w:p>
    <w:tbl>
      <w:tblPr>
        <w:tblStyle w:val="73"/>
        <w:tblpPr w:leftFromText="180" w:rightFromText="180" w:vertAnchor="text" w:tblpY="1"/>
        <w:tblOverlap w:val="never"/>
        <w:tblW w:w="5014" w:type="pct"/>
        <w:tblLayout w:type="fixed"/>
        <w:tblLook w:val="04A0" w:firstRow="1" w:lastRow="0" w:firstColumn="1" w:lastColumn="0" w:noHBand="0" w:noVBand="1"/>
      </w:tblPr>
      <w:tblGrid>
        <w:gridCol w:w="481"/>
        <w:gridCol w:w="2037"/>
        <w:gridCol w:w="7087"/>
        <w:gridCol w:w="1136"/>
        <w:gridCol w:w="848"/>
        <w:gridCol w:w="1420"/>
        <w:gridCol w:w="1818"/>
      </w:tblGrid>
      <w:tr w:rsidR="003C784A" w:rsidRPr="00006CC5" w14:paraId="370C5812" w14:textId="77777777" w:rsidTr="003C784A">
        <w:trPr>
          <w:trHeight w:val="983"/>
        </w:trPr>
        <w:tc>
          <w:tcPr>
            <w:tcW w:w="162" w:type="pct"/>
          </w:tcPr>
          <w:p w14:paraId="0DAEE205" w14:textId="77777777" w:rsidR="00006CC5" w:rsidRPr="00006CC5" w:rsidRDefault="00006CC5" w:rsidP="00006CC5">
            <w:pPr>
              <w:keepLines/>
              <w:widowControl w:val="0"/>
              <w:jc w:val="both"/>
              <w:rPr>
                <w:sz w:val="24"/>
                <w:szCs w:val="24"/>
                <w:lang w:eastAsia="ar-SA"/>
              </w:rPr>
            </w:pPr>
            <w:r w:rsidRPr="00006CC5">
              <w:rPr>
                <w:sz w:val="24"/>
                <w:szCs w:val="24"/>
                <w:lang w:eastAsia="ar-SA"/>
              </w:rPr>
              <w:t>№ п/п</w:t>
            </w:r>
          </w:p>
        </w:tc>
        <w:tc>
          <w:tcPr>
            <w:tcW w:w="687" w:type="pct"/>
          </w:tcPr>
          <w:p w14:paraId="45920777" w14:textId="77777777" w:rsidR="00006CC5" w:rsidRPr="00006CC5" w:rsidRDefault="00006CC5" w:rsidP="00006CC5">
            <w:pPr>
              <w:keepLines/>
              <w:widowControl w:val="0"/>
              <w:jc w:val="both"/>
              <w:rPr>
                <w:sz w:val="24"/>
                <w:szCs w:val="24"/>
                <w:lang w:eastAsia="ar-SA"/>
              </w:rPr>
            </w:pPr>
            <w:r w:rsidRPr="00006CC5">
              <w:rPr>
                <w:sz w:val="24"/>
                <w:szCs w:val="24"/>
                <w:lang w:eastAsia="ar-SA"/>
              </w:rPr>
              <w:t>Наименование товара, работ, услуг</w:t>
            </w:r>
          </w:p>
        </w:tc>
        <w:tc>
          <w:tcPr>
            <w:tcW w:w="2390" w:type="pct"/>
          </w:tcPr>
          <w:p w14:paraId="0E35435D" w14:textId="77777777" w:rsidR="00006CC5" w:rsidRPr="00006CC5" w:rsidRDefault="00006CC5" w:rsidP="00006CC5">
            <w:pPr>
              <w:keepLines/>
              <w:widowControl w:val="0"/>
              <w:jc w:val="both"/>
              <w:rPr>
                <w:sz w:val="24"/>
                <w:szCs w:val="24"/>
                <w:lang w:eastAsia="ar-SA"/>
              </w:rPr>
            </w:pPr>
            <w:r w:rsidRPr="00006CC5">
              <w:rPr>
                <w:sz w:val="24"/>
                <w:szCs w:val="24"/>
                <w:lang w:eastAsia="ar-SA"/>
              </w:rPr>
              <w:t>Описание объекта закупки</w:t>
            </w:r>
          </w:p>
        </w:tc>
        <w:tc>
          <w:tcPr>
            <w:tcW w:w="383" w:type="pct"/>
          </w:tcPr>
          <w:p w14:paraId="2C66062D" w14:textId="77777777" w:rsidR="00006CC5" w:rsidRPr="00006CC5" w:rsidRDefault="00006CC5" w:rsidP="00006CC5">
            <w:pPr>
              <w:keepLines/>
              <w:widowControl w:val="0"/>
              <w:jc w:val="both"/>
              <w:rPr>
                <w:sz w:val="24"/>
                <w:szCs w:val="24"/>
                <w:lang w:eastAsia="ar-SA"/>
              </w:rPr>
            </w:pPr>
            <w:r w:rsidRPr="00006CC5">
              <w:rPr>
                <w:sz w:val="24"/>
                <w:szCs w:val="24"/>
                <w:lang w:eastAsia="ar-SA"/>
              </w:rPr>
              <w:t>Кол-во (объем)</w:t>
            </w:r>
            <w:bookmarkStart w:id="0" w:name="_GoBack"/>
            <w:bookmarkEnd w:id="0"/>
          </w:p>
        </w:tc>
        <w:tc>
          <w:tcPr>
            <w:tcW w:w="286" w:type="pct"/>
          </w:tcPr>
          <w:p w14:paraId="6107B972" w14:textId="77777777" w:rsidR="00006CC5" w:rsidRPr="00006CC5" w:rsidRDefault="00006CC5" w:rsidP="00006CC5">
            <w:pPr>
              <w:keepLines/>
              <w:widowControl w:val="0"/>
              <w:jc w:val="both"/>
              <w:rPr>
                <w:sz w:val="24"/>
                <w:szCs w:val="24"/>
                <w:lang w:eastAsia="ar-SA"/>
              </w:rPr>
            </w:pPr>
            <w:r w:rsidRPr="00006CC5">
              <w:rPr>
                <w:sz w:val="24"/>
                <w:szCs w:val="24"/>
                <w:lang w:eastAsia="ar-SA"/>
              </w:rPr>
              <w:t>Ед. изм.</w:t>
            </w:r>
          </w:p>
        </w:tc>
        <w:tc>
          <w:tcPr>
            <w:tcW w:w="479" w:type="pct"/>
          </w:tcPr>
          <w:p w14:paraId="00624719" w14:textId="77777777" w:rsidR="00006CC5" w:rsidRPr="00006CC5" w:rsidRDefault="00006CC5" w:rsidP="00006CC5">
            <w:pPr>
              <w:keepLines/>
              <w:widowControl w:val="0"/>
              <w:jc w:val="both"/>
              <w:rPr>
                <w:sz w:val="24"/>
                <w:szCs w:val="24"/>
                <w:lang w:eastAsia="ar-SA"/>
              </w:rPr>
            </w:pPr>
            <w:r w:rsidRPr="00006CC5">
              <w:rPr>
                <w:sz w:val="24"/>
                <w:szCs w:val="24"/>
                <w:lang w:eastAsia="ar-SA"/>
              </w:rPr>
              <w:t>Цена за ед. изм.</w:t>
            </w:r>
            <w:r w:rsidRPr="00006CC5">
              <w:rPr>
                <w:sz w:val="24"/>
                <w:szCs w:val="24"/>
                <w:vertAlign w:val="superscript"/>
                <w:lang w:eastAsia="ar-SA"/>
              </w:rPr>
              <w:footnoteReference w:id="1"/>
            </w:r>
            <w:r w:rsidRPr="00006CC5">
              <w:rPr>
                <w:sz w:val="24"/>
                <w:szCs w:val="24"/>
                <w:lang w:eastAsia="ar-SA"/>
              </w:rPr>
              <w:t>, руб.</w:t>
            </w:r>
          </w:p>
        </w:tc>
        <w:tc>
          <w:tcPr>
            <w:tcW w:w="613" w:type="pct"/>
          </w:tcPr>
          <w:p w14:paraId="554E4726" w14:textId="77777777" w:rsidR="00006CC5" w:rsidRPr="00006CC5" w:rsidRDefault="00006CC5" w:rsidP="00006CC5">
            <w:pPr>
              <w:keepLines/>
              <w:widowControl w:val="0"/>
              <w:jc w:val="both"/>
              <w:rPr>
                <w:sz w:val="24"/>
                <w:szCs w:val="24"/>
                <w:lang w:eastAsia="ar-SA"/>
              </w:rPr>
            </w:pPr>
            <w:r w:rsidRPr="00006CC5">
              <w:rPr>
                <w:sz w:val="24"/>
                <w:szCs w:val="24"/>
                <w:lang w:eastAsia="ar-SA"/>
              </w:rPr>
              <w:t>Цена по позиции</w:t>
            </w:r>
            <w:r w:rsidRPr="00006CC5">
              <w:rPr>
                <w:sz w:val="24"/>
                <w:szCs w:val="24"/>
                <w:vertAlign w:val="superscript"/>
                <w:lang w:eastAsia="ar-SA"/>
              </w:rPr>
              <w:footnoteReference w:id="2"/>
            </w:r>
            <w:r w:rsidRPr="00006CC5">
              <w:rPr>
                <w:sz w:val="24"/>
                <w:szCs w:val="24"/>
                <w:lang w:eastAsia="ar-SA"/>
              </w:rPr>
              <w:t>, руб.</w:t>
            </w:r>
          </w:p>
        </w:tc>
      </w:tr>
      <w:tr w:rsidR="003C784A" w:rsidRPr="00006CC5" w14:paraId="4A31A293" w14:textId="77777777" w:rsidTr="003C784A">
        <w:trPr>
          <w:trHeight w:val="1221"/>
        </w:trPr>
        <w:tc>
          <w:tcPr>
            <w:tcW w:w="162" w:type="pct"/>
          </w:tcPr>
          <w:p w14:paraId="6F9B758A" w14:textId="77777777" w:rsidR="00006CC5" w:rsidRPr="00006CC5" w:rsidRDefault="00006CC5" w:rsidP="00006CC5">
            <w:pPr>
              <w:keepLines/>
              <w:widowControl w:val="0"/>
              <w:rPr>
                <w:sz w:val="24"/>
                <w:szCs w:val="24"/>
                <w:lang w:eastAsia="ar-SA"/>
              </w:rPr>
            </w:pPr>
            <w:r w:rsidRPr="00006CC5">
              <w:rPr>
                <w:sz w:val="24"/>
                <w:szCs w:val="24"/>
                <w:lang w:eastAsia="ar-SA"/>
              </w:rPr>
              <w:t>1</w:t>
            </w:r>
          </w:p>
        </w:tc>
        <w:tc>
          <w:tcPr>
            <w:tcW w:w="687" w:type="pct"/>
          </w:tcPr>
          <w:p w14:paraId="04C7D5D5" w14:textId="77777777" w:rsidR="00006CC5" w:rsidRPr="00006CC5" w:rsidRDefault="00006CC5" w:rsidP="00006CC5">
            <w:pPr>
              <w:jc w:val="center"/>
              <w:rPr>
                <w:sz w:val="24"/>
                <w:szCs w:val="24"/>
                <w:lang w:eastAsia="ar-SA"/>
              </w:rPr>
            </w:pPr>
            <w:r w:rsidRPr="00006CC5">
              <w:rPr>
                <w:sz w:val="24"/>
                <w:szCs w:val="24"/>
                <w:lang w:eastAsia="ar-SA"/>
              </w:rPr>
              <w:t>Катетер уретральный для однократного дренирования</w:t>
            </w:r>
          </w:p>
        </w:tc>
        <w:tc>
          <w:tcPr>
            <w:tcW w:w="2390" w:type="pct"/>
          </w:tcPr>
          <w:p w14:paraId="0162FF56" w14:textId="77777777" w:rsidR="00006CC5" w:rsidRPr="00006CC5" w:rsidRDefault="00006CC5" w:rsidP="00006CC5">
            <w:pPr>
              <w:keepLines/>
              <w:autoSpaceDE w:val="0"/>
              <w:autoSpaceDN w:val="0"/>
              <w:adjustRightInd w:val="0"/>
              <w:ind w:firstLine="161"/>
              <w:jc w:val="both"/>
              <w:rPr>
                <w:b/>
                <w:sz w:val="24"/>
                <w:szCs w:val="24"/>
              </w:rPr>
            </w:pPr>
            <w:r w:rsidRPr="00006CC5">
              <w:rPr>
                <w:b/>
                <w:sz w:val="24"/>
                <w:szCs w:val="24"/>
              </w:rPr>
              <w:t xml:space="preserve">Катетер для </w:t>
            </w:r>
            <w:proofErr w:type="spellStart"/>
            <w:r w:rsidRPr="00006CC5">
              <w:rPr>
                <w:b/>
                <w:sz w:val="24"/>
                <w:szCs w:val="24"/>
              </w:rPr>
              <w:t>самокатетеризации</w:t>
            </w:r>
            <w:proofErr w:type="spellEnd"/>
            <w:r w:rsidRPr="00006CC5">
              <w:rPr>
                <w:b/>
                <w:sz w:val="24"/>
                <w:szCs w:val="24"/>
              </w:rPr>
              <w:t xml:space="preserve"> </w:t>
            </w:r>
            <w:proofErr w:type="spellStart"/>
            <w:r w:rsidRPr="00006CC5">
              <w:rPr>
                <w:b/>
                <w:sz w:val="24"/>
                <w:szCs w:val="24"/>
              </w:rPr>
              <w:t>лубрицированный</w:t>
            </w:r>
            <w:proofErr w:type="spellEnd"/>
            <w:r w:rsidRPr="00006CC5">
              <w:rPr>
                <w:b/>
                <w:sz w:val="24"/>
                <w:szCs w:val="24"/>
              </w:rPr>
              <w:t xml:space="preserve"> (с зафиксированным гидрофильным покрытием)</w:t>
            </w:r>
          </w:p>
          <w:p w14:paraId="4DEA2723" w14:textId="77777777" w:rsidR="00006CC5" w:rsidRPr="00006CC5" w:rsidRDefault="00006CC5" w:rsidP="00006CC5">
            <w:pPr>
              <w:keepNext/>
              <w:keepLines/>
              <w:jc w:val="both"/>
              <w:rPr>
                <w:sz w:val="24"/>
                <w:szCs w:val="24"/>
              </w:rPr>
            </w:pPr>
            <w:r w:rsidRPr="00006CC5">
              <w:rPr>
                <w:bCs/>
                <w:sz w:val="24"/>
                <w:szCs w:val="24"/>
                <w:lang w:eastAsia="ar-SA"/>
              </w:rPr>
              <w:t xml:space="preserve">Катетер </w:t>
            </w:r>
            <w:proofErr w:type="spellStart"/>
            <w:r w:rsidRPr="00006CC5">
              <w:rPr>
                <w:bCs/>
                <w:sz w:val="24"/>
                <w:szCs w:val="24"/>
                <w:lang w:eastAsia="ar-SA"/>
              </w:rPr>
              <w:t>лубрицированный</w:t>
            </w:r>
            <w:proofErr w:type="spellEnd"/>
            <w:r w:rsidRPr="00006CC5">
              <w:rPr>
                <w:bCs/>
                <w:sz w:val="24"/>
                <w:szCs w:val="24"/>
                <w:lang w:eastAsia="ar-SA"/>
              </w:rPr>
              <w:t xml:space="preserve"> (Женский) для периодической </w:t>
            </w:r>
            <w:proofErr w:type="spellStart"/>
            <w:r w:rsidRPr="00006CC5">
              <w:rPr>
                <w:bCs/>
                <w:sz w:val="24"/>
                <w:szCs w:val="24"/>
                <w:lang w:eastAsia="ar-SA"/>
              </w:rPr>
              <w:t>самокатетеризации</w:t>
            </w:r>
            <w:proofErr w:type="spellEnd"/>
            <w:r w:rsidRPr="00006CC5">
              <w:rPr>
                <w:bCs/>
                <w:sz w:val="24"/>
                <w:szCs w:val="24"/>
                <w:lang w:eastAsia="ar-SA"/>
              </w:rPr>
              <w:t>,</w:t>
            </w:r>
            <w:r w:rsidRPr="00006CC5">
              <w:rPr>
                <w:sz w:val="24"/>
                <w:szCs w:val="24"/>
                <w:lang w:eastAsia="ar-SA"/>
              </w:rPr>
              <w:t xml:space="preserve"> </w:t>
            </w:r>
            <w:r w:rsidRPr="00006CC5">
              <w:rPr>
                <w:bCs/>
                <w:sz w:val="24"/>
                <w:szCs w:val="24"/>
                <w:lang w:eastAsia="ar-SA"/>
              </w:rPr>
              <w:t xml:space="preserve">должен быть готовый к применению, не требует дополнительной активации водой. С возможностью применения самим пациентом. Тип </w:t>
            </w:r>
            <w:proofErr w:type="spellStart"/>
            <w:r w:rsidRPr="00006CC5">
              <w:rPr>
                <w:bCs/>
                <w:sz w:val="24"/>
                <w:szCs w:val="24"/>
                <w:lang w:eastAsia="ar-SA"/>
              </w:rPr>
              <w:t>Нелатон</w:t>
            </w:r>
            <w:proofErr w:type="spellEnd"/>
            <w:r w:rsidRPr="00006CC5">
              <w:rPr>
                <w:bCs/>
                <w:sz w:val="24"/>
                <w:szCs w:val="24"/>
                <w:lang w:eastAsia="ar-SA"/>
              </w:rPr>
              <w:t xml:space="preserve">. Размер по </w:t>
            </w:r>
            <w:proofErr w:type="spellStart"/>
            <w:r w:rsidRPr="00006CC5">
              <w:rPr>
                <w:bCs/>
                <w:sz w:val="24"/>
                <w:szCs w:val="24"/>
                <w:lang w:eastAsia="ar-SA"/>
              </w:rPr>
              <w:t>Шарьеру</w:t>
            </w:r>
            <w:proofErr w:type="spellEnd"/>
            <w:r w:rsidRPr="00006CC5">
              <w:rPr>
                <w:bCs/>
                <w:sz w:val="24"/>
                <w:szCs w:val="24"/>
                <w:lang w:eastAsia="ar-SA"/>
              </w:rPr>
              <w:t xml:space="preserve">: от 06 </w:t>
            </w:r>
            <w:proofErr w:type="spellStart"/>
            <w:r w:rsidRPr="00006CC5">
              <w:rPr>
                <w:bCs/>
                <w:sz w:val="24"/>
                <w:szCs w:val="24"/>
                <w:lang w:eastAsia="ar-SA"/>
              </w:rPr>
              <w:t>ch</w:t>
            </w:r>
            <w:proofErr w:type="spellEnd"/>
            <w:r w:rsidRPr="00006CC5">
              <w:rPr>
                <w:bCs/>
                <w:sz w:val="24"/>
                <w:szCs w:val="24"/>
                <w:lang w:eastAsia="ar-SA"/>
              </w:rPr>
              <w:t xml:space="preserve"> (включительно) до 16 </w:t>
            </w:r>
            <w:proofErr w:type="spellStart"/>
            <w:r w:rsidRPr="00006CC5">
              <w:rPr>
                <w:bCs/>
                <w:sz w:val="24"/>
                <w:szCs w:val="24"/>
                <w:lang w:eastAsia="ar-SA"/>
              </w:rPr>
              <w:t>ch</w:t>
            </w:r>
            <w:proofErr w:type="spellEnd"/>
            <w:r w:rsidRPr="00006CC5">
              <w:rPr>
                <w:bCs/>
                <w:sz w:val="24"/>
                <w:szCs w:val="24"/>
                <w:lang w:eastAsia="ar-SA"/>
              </w:rPr>
              <w:t xml:space="preserve"> (включительно) (в зависимости от антропометрических данных пациента). Длина катетера должна быть не менее 18 см (включительно). Наконечник катетера прямой цилиндрический, с двумя боковыми отверстиями. Катетер должен иметь воронкообразный коннектор для соединения с мешком для сбора мочи. Катетеры должны быть одноразовые, стерильные и находиться в индивидуальной упаковке.</w:t>
            </w:r>
          </w:p>
        </w:tc>
        <w:tc>
          <w:tcPr>
            <w:tcW w:w="383" w:type="pct"/>
          </w:tcPr>
          <w:p w14:paraId="2AEC3997" w14:textId="77777777" w:rsidR="00006CC5" w:rsidRPr="00006CC5" w:rsidRDefault="00006CC5" w:rsidP="00006CC5">
            <w:pPr>
              <w:keepLines/>
              <w:widowControl w:val="0"/>
              <w:jc w:val="both"/>
              <w:rPr>
                <w:sz w:val="24"/>
                <w:szCs w:val="24"/>
                <w:lang w:eastAsia="ar-SA"/>
              </w:rPr>
            </w:pPr>
            <w:r w:rsidRPr="00006CC5">
              <w:rPr>
                <w:sz w:val="24"/>
                <w:szCs w:val="24"/>
                <w:lang w:eastAsia="ar-SA"/>
              </w:rPr>
              <w:t>48 750</w:t>
            </w:r>
          </w:p>
        </w:tc>
        <w:tc>
          <w:tcPr>
            <w:tcW w:w="286" w:type="pct"/>
          </w:tcPr>
          <w:p w14:paraId="436A2CEC" w14:textId="77777777" w:rsidR="00006CC5" w:rsidRPr="00006CC5" w:rsidRDefault="00006CC5" w:rsidP="00006CC5">
            <w:pPr>
              <w:keepLines/>
              <w:widowControl w:val="0"/>
              <w:jc w:val="both"/>
              <w:rPr>
                <w:sz w:val="24"/>
                <w:szCs w:val="24"/>
                <w:lang w:eastAsia="ar-SA"/>
              </w:rPr>
            </w:pPr>
            <w:r w:rsidRPr="00006CC5">
              <w:rPr>
                <w:sz w:val="24"/>
                <w:szCs w:val="24"/>
                <w:lang w:eastAsia="ar-SA"/>
              </w:rPr>
              <w:t>Шт.</w:t>
            </w:r>
          </w:p>
        </w:tc>
        <w:tc>
          <w:tcPr>
            <w:tcW w:w="479" w:type="pct"/>
          </w:tcPr>
          <w:p w14:paraId="5B4A361F" w14:textId="77777777" w:rsidR="00006CC5" w:rsidRPr="00006CC5" w:rsidRDefault="00006CC5" w:rsidP="00006CC5">
            <w:pPr>
              <w:keepLines/>
              <w:widowControl w:val="0"/>
              <w:jc w:val="both"/>
              <w:rPr>
                <w:sz w:val="24"/>
                <w:szCs w:val="24"/>
                <w:lang w:eastAsia="ar-SA"/>
              </w:rPr>
            </w:pPr>
            <w:r w:rsidRPr="00006CC5">
              <w:rPr>
                <w:sz w:val="24"/>
                <w:szCs w:val="24"/>
                <w:lang w:eastAsia="ar-SA"/>
              </w:rPr>
              <w:t>89,00</w:t>
            </w:r>
          </w:p>
        </w:tc>
        <w:tc>
          <w:tcPr>
            <w:tcW w:w="613" w:type="pct"/>
          </w:tcPr>
          <w:p w14:paraId="490B1BAD" w14:textId="77777777" w:rsidR="00006CC5" w:rsidRPr="00006CC5" w:rsidRDefault="00006CC5" w:rsidP="00006CC5">
            <w:pPr>
              <w:keepLines/>
              <w:widowControl w:val="0"/>
              <w:jc w:val="both"/>
              <w:rPr>
                <w:sz w:val="24"/>
                <w:szCs w:val="24"/>
                <w:lang w:eastAsia="ar-SA"/>
              </w:rPr>
            </w:pPr>
            <w:r w:rsidRPr="00006CC5">
              <w:rPr>
                <w:sz w:val="24"/>
                <w:szCs w:val="24"/>
                <w:lang w:eastAsia="ar-SA"/>
              </w:rPr>
              <w:t>4 338 750,00</w:t>
            </w:r>
          </w:p>
        </w:tc>
      </w:tr>
      <w:tr w:rsidR="003C784A" w:rsidRPr="00006CC5" w14:paraId="5A831E82" w14:textId="77777777" w:rsidTr="003C784A">
        <w:trPr>
          <w:trHeight w:val="277"/>
        </w:trPr>
        <w:tc>
          <w:tcPr>
            <w:tcW w:w="162" w:type="pct"/>
          </w:tcPr>
          <w:p w14:paraId="6D36BC5D" w14:textId="77777777" w:rsidR="00006CC5" w:rsidRPr="00006CC5" w:rsidRDefault="00006CC5" w:rsidP="00006CC5">
            <w:pPr>
              <w:keepLines/>
              <w:widowControl w:val="0"/>
              <w:rPr>
                <w:sz w:val="24"/>
                <w:szCs w:val="24"/>
                <w:lang w:eastAsia="ar-SA"/>
              </w:rPr>
            </w:pPr>
            <w:r w:rsidRPr="00006CC5">
              <w:rPr>
                <w:sz w:val="24"/>
                <w:szCs w:val="24"/>
                <w:lang w:eastAsia="ar-SA"/>
              </w:rPr>
              <w:t>2.</w:t>
            </w:r>
          </w:p>
        </w:tc>
        <w:tc>
          <w:tcPr>
            <w:tcW w:w="687" w:type="pct"/>
          </w:tcPr>
          <w:p w14:paraId="77CC26BD" w14:textId="77777777" w:rsidR="00006CC5" w:rsidRPr="00006CC5" w:rsidRDefault="00006CC5" w:rsidP="00006CC5">
            <w:pPr>
              <w:jc w:val="center"/>
              <w:rPr>
                <w:sz w:val="24"/>
                <w:szCs w:val="24"/>
                <w:lang w:eastAsia="ar-SA"/>
              </w:rPr>
            </w:pPr>
            <w:r w:rsidRPr="00006CC5">
              <w:rPr>
                <w:sz w:val="24"/>
                <w:szCs w:val="24"/>
                <w:lang w:eastAsia="ar-SA"/>
              </w:rPr>
              <w:t>Катетер уретральный для однократного дренирования</w:t>
            </w:r>
          </w:p>
        </w:tc>
        <w:tc>
          <w:tcPr>
            <w:tcW w:w="2390" w:type="pct"/>
          </w:tcPr>
          <w:p w14:paraId="6DF71133" w14:textId="77777777" w:rsidR="00006CC5" w:rsidRPr="00006CC5" w:rsidRDefault="00006CC5" w:rsidP="00006CC5">
            <w:pPr>
              <w:keepLines/>
              <w:autoSpaceDE w:val="0"/>
              <w:autoSpaceDN w:val="0"/>
              <w:adjustRightInd w:val="0"/>
              <w:ind w:firstLine="161"/>
              <w:jc w:val="both"/>
              <w:rPr>
                <w:b/>
                <w:sz w:val="24"/>
                <w:szCs w:val="24"/>
              </w:rPr>
            </w:pPr>
            <w:r w:rsidRPr="00006CC5">
              <w:rPr>
                <w:b/>
                <w:sz w:val="24"/>
                <w:szCs w:val="24"/>
              </w:rPr>
              <w:t xml:space="preserve">Катетер для </w:t>
            </w:r>
            <w:proofErr w:type="spellStart"/>
            <w:r w:rsidRPr="00006CC5">
              <w:rPr>
                <w:b/>
                <w:sz w:val="24"/>
                <w:szCs w:val="24"/>
              </w:rPr>
              <w:t>самокатетеризации</w:t>
            </w:r>
            <w:proofErr w:type="spellEnd"/>
            <w:r w:rsidRPr="00006CC5">
              <w:rPr>
                <w:b/>
                <w:sz w:val="24"/>
                <w:szCs w:val="24"/>
              </w:rPr>
              <w:t xml:space="preserve"> </w:t>
            </w:r>
            <w:proofErr w:type="spellStart"/>
            <w:r w:rsidRPr="00006CC5">
              <w:rPr>
                <w:b/>
                <w:sz w:val="24"/>
                <w:szCs w:val="24"/>
              </w:rPr>
              <w:t>лубрицированный</w:t>
            </w:r>
            <w:proofErr w:type="spellEnd"/>
            <w:r w:rsidRPr="00006CC5">
              <w:rPr>
                <w:b/>
                <w:sz w:val="24"/>
                <w:szCs w:val="24"/>
              </w:rPr>
              <w:t xml:space="preserve"> (с зафиксированным гидрофильным покрытием)</w:t>
            </w:r>
          </w:p>
          <w:p w14:paraId="3A5BCB23" w14:textId="77777777" w:rsidR="00006CC5" w:rsidRPr="00006CC5" w:rsidRDefault="00006CC5" w:rsidP="00006CC5">
            <w:pPr>
              <w:keepLines/>
              <w:autoSpaceDE w:val="0"/>
              <w:autoSpaceDN w:val="0"/>
              <w:adjustRightInd w:val="0"/>
              <w:ind w:firstLine="161"/>
              <w:jc w:val="both"/>
              <w:rPr>
                <w:b/>
                <w:sz w:val="24"/>
                <w:szCs w:val="24"/>
              </w:rPr>
            </w:pPr>
            <w:r w:rsidRPr="00006CC5">
              <w:rPr>
                <w:bCs/>
                <w:sz w:val="24"/>
                <w:szCs w:val="24"/>
                <w:lang w:eastAsia="ar-SA"/>
              </w:rPr>
              <w:t xml:space="preserve">Катетер </w:t>
            </w:r>
            <w:proofErr w:type="spellStart"/>
            <w:r w:rsidRPr="00006CC5">
              <w:rPr>
                <w:bCs/>
                <w:sz w:val="24"/>
                <w:szCs w:val="24"/>
                <w:lang w:eastAsia="ar-SA"/>
              </w:rPr>
              <w:t>лубрицированный</w:t>
            </w:r>
            <w:proofErr w:type="spellEnd"/>
            <w:r w:rsidRPr="00006CC5">
              <w:rPr>
                <w:bCs/>
                <w:sz w:val="24"/>
                <w:szCs w:val="24"/>
                <w:lang w:eastAsia="ar-SA"/>
              </w:rPr>
              <w:t xml:space="preserve"> (Мужской) для периодической </w:t>
            </w:r>
            <w:proofErr w:type="spellStart"/>
            <w:r w:rsidRPr="00006CC5">
              <w:rPr>
                <w:bCs/>
                <w:sz w:val="24"/>
                <w:szCs w:val="24"/>
                <w:lang w:eastAsia="ar-SA"/>
              </w:rPr>
              <w:t>самокатетеризации</w:t>
            </w:r>
            <w:proofErr w:type="spellEnd"/>
            <w:r w:rsidRPr="00006CC5">
              <w:rPr>
                <w:bCs/>
                <w:sz w:val="24"/>
                <w:szCs w:val="24"/>
                <w:lang w:eastAsia="ar-SA"/>
              </w:rPr>
              <w:t xml:space="preserve">, готовый к применению, не требует дополнительной активации водой. Должен быть с возможностью применения самим пациентом. Тип </w:t>
            </w:r>
            <w:proofErr w:type="spellStart"/>
            <w:r w:rsidRPr="00006CC5">
              <w:rPr>
                <w:bCs/>
                <w:sz w:val="24"/>
                <w:szCs w:val="24"/>
                <w:lang w:eastAsia="ar-SA"/>
              </w:rPr>
              <w:t>Нелатон</w:t>
            </w:r>
            <w:proofErr w:type="spellEnd"/>
            <w:r w:rsidRPr="00006CC5">
              <w:rPr>
                <w:bCs/>
                <w:sz w:val="24"/>
                <w:szCs w:val="24"/>
                <w:lang w:eastAsia="ar-SA"/>
              </w:rPr>
              <w:t xml:space="preserve">. Размер по </w:t>
            </w:r>
            <w:proofErr w:type="spellStart"/>
            <w:r w:rsidRPr="00006CC5">
              <w:rPr>
                <w:bCs/>
                <w:sz w:val="24"/>
                <w:szCs w:val="24"/>
                <w:lang w:eastAsia="ar-SA"/>
              </w:rPr>
              <w:t>Шарьеру</w:t>
            </w:r>
            <w:proofErr w:type="spellEnd"/>
            <w:r w:rsidRPr="00006CC5">
              <w:rPr>
                <w:bCs/>
                <w:sz w:val="24"/>
                <w:szCs w:val="24"/>
                <w:lang w:eastAsia="ar-SA"/>
              </w:rPr>
              <w:t xml:space="preserve">: от 08 </w:t>
            </w:r>
            <w:proofErr w:type="spellStart"/>
            <w:r w:rsidRPr="00006CC5">
              <w:rPr>
                <w:bCs/>
                <w:sz w:val="24"/>
                <w:szCs w:val="24"/>
                <w:lang w:eastAsia="ar-SA"/>
              </w:rPr>
              <w:t>ch</w:t>
            </w:r>
            <w:proofErr w:type="spellEnd"/>
            <w:r w:rsidRPr="00006CC5">
              <w:rPr>
                <w:bCs/>
                <w:sz w:val="24"/>
                <w:szCs w:val="24"/>
                <w:lang w:eastAsia="ar-SA"/>
              </w:rPr>
              <w:t xml:space="preserve"> (включительно) до 18 </w:t>
            </w:r>
            <w:proofErr w:type="spellStart"/>
            <w:r w:rsidRPr="00006CC5">
              <w:rPr>
                <w:bCs/>
                <w:sz w:val="24"/>
                <w:szCs w:val="24"/>
                <w:lang w:eastAsia="ar-SA"/>
              </w:rPr>
              <w:t>ch</w:t>
            </w:r>
            <w:proofErr w:type="spellEnd"/>
            <w:r w:rsidRPr="00006CC5">
              <w:rPr>
                <w:bCs/>
                <w:sz w:val="24"/>
                <w:szCs w:val="24"/>
                <w:lang w:eastAsia="ar-SA"/>
              </w:rPr>
              <w:t xml:space="preserve"> (включительно) (в зависимости от антропометрических данных пациента). Длина катетера должна быть не менее 40 см (включительно). Наконечник катетера должен быть   прямой цилиндрический, с двумя боковыми отверстиями. Катетер должен иметь воронкообразный коннектор </w:t>
            </w:r>
            <w:r w:rsidRPr="00006CC5">
              <w:rPr>
                <w:bCs/>
                <w:sz w:val="24"/>
                <w:szCs w:val="24"/>
                <w:lang w:eastAsia="ar-SA"/>
              </w:rPr>
              <w:lastRenderedPageBreak/>
              <w:t>для соединения с мешком</w:t>
            </w:r>
          </w:p>
        </w:tc>
        <w:tc>
          <w:tcPr>
            <w:tcW w:w="383" w:type="pct"/>
          </w:tcPr>
          <w:p w14:paraId="6E8CD00F" w14:textId="77777777" w:rsidR="00006CC5" w:rsidRPr="00006CC5" w:rsidRDefault="00006CC5" w:rsidP="00006CC5">
            <w:pPr>
              <w:keepLines/>
              <w:widowControl w:val="0"/>
              <w:jc w:val="both"/>
              <w:rPr>
                <w:sz w:val="24"/>
                <w:szCs w:val="24"/>
                <w:lang w:eastAsia="ar-SA"/>
              </w:rPr>
            </w:pPr>
            <w:r w:rsidRPr="00006CC5">
              <w:rPr>
                <w:sz w:val="24"/>
                <w:szCs w:val="24"/>
                <w:lang w:eastAsia="ar-SA"/>
              </w:rPr>
              <w:lastRenderedPageBreak/>
              <w:t>75 450</w:t>
            </w:r>
          </w:p>
        </w:tc>
        <w:tc>
          <w:tcPr>
            <w:tcW w:w="286" w:type="pct"/>
          </w:tcPr>
          <w:p w14:paraId="2B16C131" w14:textId="77777777" w:rsidR="00006CC5" w:rsidRPr="00006CC5" w:rsidRDefault="00006CC5" w:rsidP="00006CC5">
            <w:pPr>
              <w:keepLines/>
              <w:widowControl w:val="0"/>
              <w:jc w:val="both"/>
              <w:rPr>
                <w:sz w:val="24"/>
                <w:szCs w:val="24"/>
                <w:lang w:eastAsia="ar-SA"/>
              </w:rPr>
            </w:pPr>
            <w:r w:rsidRPr="00006CC5">
              <w:rPr>
                <w:sz w:val="24"/>
                <w:szCs w:val="24"/>
                <w:lang w:eastAsia="ar-SA"/>
              </w:rPr>
              <w:t>Шт.</w:t>
            </w:r>
          </w:p>
        </w:tc>
        <w:tc>
          <w:tcPr>
            <w:tcW w:w="479" w:type="pct"/>
          </w:tcPr>
          <w:p w14:paraId="22FE4474" w14:textId="77777777" w:rsidR="00006CC5" w:rsidRPr="00006CC5" w:rsidRDefault="00006CC5" w:rsidP="00006CC5">
            <w:pPr>
              <w:keepLines/>
              <w:widowControl w:val="0"/>
              <w:jc w:val="both"/>
              <w:rPr>
                <w:sz w:val="24"/>
                <w:szCs w:val="24"/>
                <w:lang w:eastAsia="ar-SA"/>
              </w:rPr>
            </w:pPr>
            <w:r w:rsidRPr="00006CC5">
              <w:rPr>
                <w:sz w:val="24"/>
                <w:szCs w:val="24"/>
                <w:lang w:eastAsia="ar-SA"/>
              </w:rPr>
              <w:t>89,00</w:t>
            </w:r>
          </w:p>
        </w:tc>
        <w:tc>
          <w:tcPr>
            <w:tcW w:w="613" w:type="pct"/>
          </w:tcPr>
          <w:p w14:paraId="0F94CCD7" w14:textId="77777777" w:rsidR="00006CC5" w:rsidRPr="00006CC5" w:rsidRDefault="00006CC5" w:rsidP="00006CC5">
            <w:pPr>
              <w:keepLines/>
              <w:widowControl w:val="0"/>
              <w:jc w:val="both"/>
              <w:rPr>
                <w:sz w:val="24"/>
                <w:szCs w:val="24"/>
                <w:lang w:eastAsia="ar-SA"/>
              </w:rPr>
            </w:pPr>
            <w:r w:rsidRPr="00006CC5">
              <w:rPr>
                <w:sz w:val="24"/>
                <w:szCs w:val="24"/>
                <w:lang w:eastAsia="ar-SA"/>
              </w:rPr>
              <w:t>6 715 050,00</w:t>
            </w:r>
          </w:p>
        </w:tc>
      </w:tr>
      <w:tr w:rsidR="00006CC5" w:rsidRPr="00006CC5" w14:paraId="7E16322B" w14:textId="77777777" w:rsidTr="003C784A">
        <w:trPr>
          <w:trHeight w:val="232"/>
        </w:trPr>
        <w:tc>
          <w:tcPr>
            <w:tcW w:w="3239" w:type="pct"/>
            <w:gridSpan w:val="3"/>
          </w:tcPr>
          <w:p w14:paraId="25AFA7A2" w14:textId="77777777" w:rsidR="00006CC5" w:rsidRPr="00006CC5" w:rsidRDefault="00006CC5" w:rsidP="00006CC5">
            <w:pPr>
              <w:keepNext/>
              <w:keepLines/>
              <w:jc w:val="both"/>
              <w:rPr>
                <w:bCs/>
                <w:sz w:val="24"/>
                <w:szCs w:val="24"/>
                <w:lang w:eastAsia="ar-SA"/>
              </w:rPr>
            </w:pPr>
            <w:r w:rsidRPr="00006CC5">
              <w:rPr>
                <w:b/>
                <w:sz w:val="24"/>
                <w:szCs w:val="24"/>
                <w:lang w:eastAsia="ar-SA"/>
              </w:rPr>
              <w:t>ИТОГО:</w:t>
            </w:r>
          </w:p>
        </w:tc>
        <w:tc>
          <w:tcPr>
            <w:tcW w:w="383" w:type="pct"/>
          </w:tcPr>
          <w:p w14:paraId="5EBEC120" w14:textId="77777777" w:rsidR="00006CC5" w:rsidRPr="00006CC5" w:rsidRDefault="00006CC5" w:rsidP="00006CC5">
            <w:pPr>
              <w:keepLines/>
              <w:widowControl w:val="0"/>
              <w:jc w:val="both"/>
              <w:rPr>
                <w:b/>
                <w:sz w:val="24"/>
                <w:szCs w:val="24"/>
                <w:lang w:eastAsia="ar-SA"/>
              </w:rPr>
            </w:pPr>
            <w:r w:rsidRPr="00006CC5">
              <w:rPr>
                <w:b/>
                <w:sz w:val="24"/>
                <w:szCs w:val="24"/>
                <w:lang w:eastAsia="ar-SA"/>
              </w:rPr>
              <w:t>124 200</w:t>
            </w:r>
          </w:p>
        </w:tc>
        <w:tc>
          <w:tcPr>
            <w:tcW w:w="286" w:type="pct"/>
          </w:tcPr>
          <w:p w14:paraId="5703C935" w14:textId="77777777" w:rsidR="00006CC5" w:rsidRPr="00006CC5" w:rsidRDefault="00006CC5" w:rsidP="00006CC5">
            <w:pPr>
              <w:keepLines/>
              <w:widowControl w:val="0"/>
              <w:jc w:val="both"/>
              <w:rPr>
                <w:b/>
                <w:sz w:val="24"/>
                <w:szCs w:val="24"/>
                <w:lang w:eastAsia="ar-SA"/>
              </w:rPr>
            </w:pPr>
          </w:p>
        </w:tc>
        <w:tc>
          <w:tcPr>
            <w:tcW w:w="479" w:type="pct"/>
          </w:tcPr>
          <w:p w14:paraId="474AD543" w14:textId="77777777" w:rsidR="00006CC5" w:rsidRPr="00006CC5" w:rsidRDefault="00006CC5" w:rsidP="00006CC5">
            <w:pPr>
              <w:keepLines/>
              <w:widowControl w:val="0"/>
              <w:jc w:val="both"/>
              <w:rPr>
                <w:sz w:val="24"/>
                <w:szCs w:val="24"/>
                <w:lang w:eastAsia="ar-SA"/>
              </w:rPr>
            </w:pPr>
          </w:p>
        </w:tc>
        <w:tc>
          <w:tcPr>
            <w:tcW w:w="613" w:type="pct"/>
          </w:tcPr>
          <w:p w14:paraId="1CE45178" w14:textId="77777777" w:rsidR="00006CC5" w:rsidRPr="00006CC5" w:rsidRDefault="00006CC5" w:rsidP="00006CC5">
            <w:pPr>
              <w:keepLines/>
              <w:widowControl w:val="0"/>
              <w:jc w:val="both"/>
              <w:rPr>
                <w:b/>
                <w:sz w:val="24"/>
                <w:szCs w:val="24"/>
                <w:lang w:eastAsia="ar-SA"/>
              </w:rPr>
            </w:pPr>
            <w:r w:rsidRPr="00006CC5">
              <w:rPr>
                <w:b/>
                <w:sz w:val="24"/>
                <w:szCs w:val="24"/>
                <w:lang w:eastAsia="ar-SA"/>
              </w:rPr>
              <w:t>11 053 800,00</w:t>
            </w:r>
          </w:p>
        </w:tc>
      </w:tr>
    </w:tbl>
    <w:p w14:paraId="348FAA10" w14:textId="77777777" w:rsidR="00006CC5" w:rsidRPr="00006CC5" w:rsidRDefault="00006CC5" w:rsidP="00006CC5">
      <w:pPr>
        <w:keepLines/>
        <w:widowControl w:val="0"/>
        <w:tabs>
          <w:tab w:val="left" w:pos="5865"/>
        </w:tabs>
        <w:jc w:val="center"/>
        <w:rPr>
          <w:color w:val="auto"/>
          <w:szCs w:val="24"/>
          <w:lang w:eastAsia="ar-SA"/>
        </w:rPr>
      </w:pPr>
    </w:p>
    <w:p w14:paraId="067BE6D5" w14:textId="77777777" w:rsidR="00006CC5" w:rsidRPr="00006CC5" w:rsidRDefault="00006CC5" w:rsidP="00006CC5">
      <w:pPr>
        <w:keepLines/>
        <w:widowControl w:val="0"/>
        <w:tabs>
          <w:tab w:val="left" w:pos="3828"/>
          <w:tab w:val="center" w:pos="5244"/>
        </w:tabs>
        <w:ind w:firstLine="709"/>
        <w:jc w:val="both"/>
        <w:rPr>
          <w:b/>
          <w:color w:val="auto"/>
          <w:szCs w:val="24"/>
        </w:rPr>
      </w:pPr>
      <w:r w:rsidRPr="00006CC5">
        <w:rPr>
          <w:b/>
          <w:color w:val="auto"/>
          <w:szCs w:val="24"/>
        </w:rPr>
        <w:t>Сроки поставки товара или завершения работ, либо график оказания услуг:</w:t>
      </w:r>
    </w:p>
    <w:p w14:paraId="5A5323A3"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31.03.2023. </w:t>
      </w:r>
    </w:p>
    <w:p w14:paraId="428B0F23"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До 20.01.2023 г. предоставить на склад Поставщика, расположенный на территории Краснодарского края, 50% от общего количества Товара. До 15.02.2023 г. на складе Поставщика, расположенном на территории Краснодарского края, должно быть 100% от общего количества Товара.</w:t>
      </w:r>
    </w:p>
    <w:p w14:paraId="6BD09345"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3BAEAAF0" w14:textId="77777777" w:rsidR="00006CC5" w:rsidRPr="00006CC5" w:rsidRDefault="00006CC5" w:rsidP="00006CC5">
      <w:pPr>
        <w:keepLines/>
        <w:widowControl w:val="0"/>
        <w:tabs>
          <w:tab w:val="left" w:pos="3828"/>
          <w:tab w:val="center" w:pos="5244"/>
        </w:tabs>
        <w:ind w:firstLine="709"/>
        <w:jc w:val="both"/>
        <w:rPr>
          <w:b/>
          <w:color w:val="auto"/>
          <w:szCs w:val="24"/>
        </w:rPr>
      </w:pPr>
      <w:r w:rsidRPr="00006CC5">
        <w:rPr>
          <w:b/>
          <w:color w:val="auto"/>
          <w:szCs w:val="24"/>
        </w:rPr>
        <w:t xml:space="preserve">Место поставки товара, выполнения работы или оказания услуг </w:t>
      </w:r>
    </w:p>
    <w:p w14:paraId="36E0902E"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Краснодарский край:</w:t>
      </w:r>
    </w:p>
    <w:p w14:paraId="60080A21"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2F797087"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 xml:space="preserve">-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14:paraId="60DEAB08"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59543064"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0DD1480B" w14:textId="77777777" w:rsidR="00006CC5" w:rsidRPr="00006CC5" w:rsidRDefault="00006CC5" w:rsidP="00006CC5">
      <w:pPr>
        <w:keepLines/>
        <w:widowControl w:val="0"/>
        <w:tabs>
          <w:tab w:val="left" w:pos="3828"/>
          <w:tab w:val="center" w:pos="5244"/>
        </w:tabs>
        <w:ind w:firstLine="709"/>
        <w:jc w:val="both"/>
        <w:rPr>
          <w:color w:val="auto"/>
          <w:szCs w:val="24"/>
        </w:rPr>
      </w:pPr>
      <w:r w:rsidRPr="00006CC5">
        <w:rPr>
          <w:color w:val="auto"/>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6CFDF64F" w14:textId="30C58E10" w:rsidR="009E7C81" w:rsidRPr="00DD3C9E" w:rsidRDefault="00006CC5" w:rsidP="00006CC5">
      <w:pPr>
        <w:keepLines/>
        <w:widowControl w:val="0"/>
        <w:rPr>
          <w:b/>
          <w:szCs w:val="24"/>
        </w:rPr>
      </w:pPr>
      <w:r w:rsidRPr="00006CC5">
        <w:rPr>
          <w:color w:val="auto"/>
          <w:szCs w:val="24"/>
        </w:rPr>
        <w:t xml:space="preserve">Соответствие </w:t>
      </w:r>
      <w:r w:rsidRPr="00006CC5">
        <w:rPr>
          <w:color w:val="auto"/>
          <w:szCs w:val="24"/>
          <w:lang w:eastAsia="ar-SA"/>
        </w:rPr>
        <w:t xml:space="preserve">ГОСТ ISO 10993-1-2021, ГОСТ ISO 10993-5-2011, ГОСТ ISO 10993-10-2011, </w:t>
      </w:r>
      <w:r w:rsidRPr="00006CC5">
        <w:rPr>
          <w:rFonts w:eastAsia="Calibri"/>
          <w:color w:val="auto"/>
          <w:szCs w:val="24"/>
          <w:lang w:eastAsia="en-US"/>
        </w:rPr>
        <w:t xml:space="preserve">ГОСТ Р 52770-2016, </w:t>
      </w:r>
      <w:r w:rsidRPr="00006CC5">
        <w:rPr>
          <w:color w:val="auto"/>
          <w:szCs w:val="24"/>
          <w:lang w:eastAsia="ar-SA"/>
        </w:rPr>
        <w:t>ГОСТ Р 58235-2018</w:t>
      </w:r>
    </w:p>
    <w:sectPr w:rsidR="009E7C81" w:rsidRPr="00DD3C9E"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25E7BAE7" w14:textId="77777777" w:rsidR="00006CC5" w:rsidRDefault="00006CC5" w:rsidP="00006CC5">
      <w:pPr>
        <w:pStyle w:val="affff4"/>
      </w:pPr>
      <w:r>
        <w:rPr>
          <w:rStyle w:val="affff6"/>
        </w:rPr>
        <w:footnoteRef/>
      </w:r>
      <w:r>
        <w:t xml:space="preserve"> Не более</w:t>
      </w:r>
    </w:p>
  </w:footnote>
  <w:footnote w:id="2">
    <w:p w14:paraId="45FA0782" w14:textId="77777777" w:rsidR="00006CC5" w:rsidRDefault="00006CC5" w:rsidP="00006CC5">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6CC5"/>
    <w:rsid w:val="00012BC5"/>
    <w:rsid w:val="00021608"/>
    <w:rsid w:val="00027E1A"/>
    <w:rsid w:val="000300F0"/>
    <w:rsid w:val="0005153E"/>
    <w:rsid w:val="000571F7"/>
    <w:rsid w:val="00062B7B"/>
    <w:rsid w:val="00084A35"/>
    <w:rsid w:val="0009531E"/>
    <w:rsid w:val="000A43FB"/>
    <w:rsid w:val="000A4BE4"/>
    <w:rsid w:val="000C3455"/>
    <w:rsid w:val="000C4754"/>
    <w:rsid w:val="000E7E2B"/>
    <w:rsid w:val="000F20C4"/>
    <w:rsid w:val="000F43FB"/>
    <w:rsid w:val="0011323D"/>
    <w:rsid w:val="001216D3"/>
    <w:rsid w:val="0013772F"/>
    <w:rsid w:val="00163148"/>
    <w:rsid w:val="00172100"/>
    <w:rsid w:val="00194410"/>
    <w:rsid w:val="00194708"/>
    <w:rsid w:val="001967B7"/>
    <w:rsid w:val="001A42DF"/>
    <w:rsid w:val="001B422E"/>
    <w:rsid w:val="001B5335"/>
    <w:rsid w:val="001C02FA"/>
    <w:rsid w:val="001C45E1"/>
    <w:rsid w:val="001C54FA"/>
    <w:rsid w:val="001F7610"/>
    <w:rsid w:val="00202B0D"/>
    <w:rsid w:val="00224785"/>
    <w:rsid w:val="00225261"/>
    <w:rsid w:val="00226670"/>
    <w:rsid w:val="00227FA6"/>
    <w:rsid w:val="00230E03"/>
    <w:rsid w:val="002454A4"/>
    <w:rsid w:val="0024676B"/>
    <w:rsid w:val="00262F2D"/>
    <w:rsid w:val="00286FCA"/>
    <w:rsid w:val="00292D62"/>
    <w:rsid w:val="002A67DF"/>
    <w:rsid w:val="002A699C"/>
    <w:rsid w:val="002C1736"/>
    <w:rsid w:val="002D7B85"/>
    <w:rsid w:val="002E1EDD"/>
    <w:rsid w:val="002E38EB"/>
    <w:rsid w:val="002F2C66"/>
    <w:rsid w:val="002F3CBB"/>
    <w:rsid w:val="003124F5"/>
    <w:rsid w:val="00313DD2"/>
    <w:rsid w:val="0032718C"/>
    <w:rsid w:val="0032740B"/>
    <w:rsid w:val="00343AC6"/>
    <w:rsid w:val="00353467"/>
    <w:rsid w:val="00364579"/>
    <w:rsid w:val="0037308A"/>
    <w:rsid w:val="003833D3"/>
    <w:rsid w:val="00395E85"/>
    <w:rsid w:val="003B4119"/>
    <w:rsid w:val="003C784A"/>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D56AA"/>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2FEF"/>
    <w:rsid w:val="00843A71"/>
    <w:rsid w:val="00845D67"/>
    <w:rsid w:val="008469F5"/>
    <w:rsid w:val="00854776"/>
    <w:rsid w:val="00857023"/>
    <w:rsid w:val="00865F7D"/>
    <w:rsid w:val="00882FED"/>
    <w:rsid w:val="008831B7"/>
    <w:rsid w:val="008873EB"/>
    <w:rsid w:val="00893C54"/>
    <w:rsid w:val="008A7512"/>
    <w:rsid w:val="008B7BC9"/>
    <w:rsid w:val="008C662B"/>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E7C81"/>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63921"/>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2682C"/>
    <w:rsid w:val="00D37547"/>
    <w:rsid w:val="00D418EF"/>
    <w:rsid w:val="00D60532"/>
    <w:rsid w:val="00D67204"/>
    <w:rsid w:val="00D73166"/>
    <w:rsid w:val="00D843F9"/>
    <w:rsid w:val="00DC02BF"/>
    <w:rsid w:val="00DC615A"/>
    <w:rsid w:val="00DD2DBB"/>
    <w:rsid w:val="00DD390A"/>
    <w:rsid w:val="00DD3C9E"/>
    <w:rsid w:val="00DF5110"/>
    <w:rsid w:val="00DF5688"/>
    <w:rsid w:val="00E05835"/>
    <w:rsid w:val="00E06F0E"/>
    <w:rsid w:val="00E20082"/>
    <w:rsid w:val="00E43D1E"/>
    <w:rsid w:val="00E462E9"/>
    <w:rsid w:val="00E478CF"/>
    <w:rsid w:val="00E665FE"/>
    <w:rsid w:val="00E812D9"/>
    <w:rsid w:val="00E91DED"/>
    <w:rsid w:val="00EA2A17"/>
    <w:rsid w:val="00EC3F05"/>
    <w:rsid w:val="00EE312E"/>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5C9"/>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9E7C8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rsid w:val="00FD35C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006CC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81586917">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A6E7-4D4D-4A18-944C-6D7B0792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270</cp:revision>
  <dcterms:created xsi:type="dcterms:W3CDTF">2021-12-29T15:28:00Z</dcterms:created>
  <dcterms:modified xsi:type="dcterms:W3CDTF">2022-12-08T15:25:00Z</dcterms:modified>
</cp:coreProperties>
</file>