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8D" w:rsidRPr="00DF3B52" w:rsidRDefault="0055478D" w:rsidP="00DF3B52">
      <w:pPr>
        <w:spacing w:line="276" w:lineRule="auto"/>
        <w:ind w:left="-426" w:firstLine="426"/>
        <w:jc w:val="center"/>
        <w:rPr>
          <w:b/>
          <w:caps/>
        </w:rPr>
      </w:pPr>
      <w:r w:rsidRPr="00DF3B52">
        <w:rPr>
          <w:b/>
        </w:rPr>
        <w:t>ОПИСАНИЕ ОБЪЕКТА ЗАКУПКИ</w:t>
      </w:r>
    </w:p>
    <w:p w:rsidR="0055478D" w:rsidRDefault="008B4C93" w:rsidP="008B4C93">
      <w:pPr>
        <w:jc w:val="center"/>
        <w:rPr>
          <w:b/>
          <w:i/>
        </w:rPr>
      </w:pPr>
      <w:r w:rsidRPr="008B4C93">
        <w:rPr>
          <w:b/>
          <w:i/>
        </w:rPr>
        <w:t>№ 009-эа. Поставка технических средств реабилитации - специальных устройств для чтения "говорящих книг" на флэш-картах для обеспеч</w:t>
      </w:r>
      <w:r>
        <w:rPr>
          <w:b/>
          <w:i/>
        </w:rPr>
        <w:t>ения ими инвалидов в 2023 году.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  <w:gridCol w:w="851"/>
      </w:tblGrid>
      <w:tr w:rsidR="003E2CB5" w:rsidRPr="003E2CB5" w:rsidTr="002867D0">
        <w:trPr>
          <w:trHeight w:val="210"/>
        </w:trPr>
        <w:tc>
          <w:tcPr>
            <w:tcW w:w="2268" w:type="dxa"/>
            <w:shd w:val="clear" w:color="auto" w:fill="auto"/>
            <w:vAlign w:val="center"/>
          </w:tcPr>
          <w:p w:rsidR="003E2CB5" w:rsidRPr="002867D0" w:rsidRDefault="003E2CB5" w:rsidP="002867D0">
            <w:pPr>
              <w:tabs>
                <w:tab w:val="left" w:pos="975"/>
              </w:tabs>
              <w:ind w:right="-144"/>
              <w:jc w:val="center"/>
              <w:rPr>
                <w:rFonts w:eastAsia="Arial"/>
                <w:b/>
                <w:color w:val="FF0000"/>
                <w:sz w:val="22"/>
                <w:szCs w:val="22"/>
              </w:rPr>
            </w:pPr>
            <w:r w:rsidRPr="002867D0">
              <w:rPr>
                <w:b/>
                <w:sz w:val="22"/>
                <w:szCs w:val="22"/>
              </w:rPr>
              <w:t xml:space="preserve">Наименование </w:t>
            </w:r>
            <w:r w:rsidR="002867D0">
              <w:rPr>
                <w:b/>
                <w:sz w:val="22"/>
                <w:szCs w:val="22"/>
              </w:rPr>
              <w:t>Т</w:t>
            </w:r>
            <w:r w:rsidRPr="002867D0">
              <w:rPr>
                <w:b/>
                <w:sz w:val="22"/>
                <w:szCs w:val="22"/>
              </w:rPr>
              <w:t>овара</w:t>
            </w:r>
          </w:p>
        </w:tc>
        <w:tc>
          <w:tcPr>
            <w:tcW w:w="7371" w:type="dxa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Описание функциональных и технических характеристик</w:t>
            </w:r>
            <w:r w:rsidR="002867D0">
              <w:rPr>
                <w:rFonts w:eastAsia="Arial"/>
                <w:b/>
                <w:sz w:val="22"/>
                <w:szCs w:val="22"/>
              </w:rPr>
              <w:t xml:space="preserve"> Товара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3E2CB5" w:rsidRPr="002867D0" w:rsidRDefault="003E2CB5" w:rsidP="00DF3B52">
            <w:pPr>
              <w:tabs>
                <w:tab w:val="left" w:pos="975"/>
              </w:tabs>
              <w:ind w:left="-108" w:right="-144"/>
              <w:jc w:val="center"/>
              <w:rPr>
                <w:rFonts w:eastAsia="Arial"/>
                <w:b/>
                <w:sz w:val="22"/>
                <w:szCs w:val="22"/>
              </w:rPr>
            </w:pPr>
            <w:r w:rsidRPr="002867D0">
              <w:rPr>
                <w:rFonts w:eastAsia="Arial"/>
                <w:b/>
                <w:sz w:val="22"/>
                <w:szCs w:val="22"/>
              </w:rPr>
              <w:t>Кол-во, шт</w:t>
            </w:r>
            <w:r w:rsidR="002867D0">
              <w:rPr>
                <w:rFonts w:eastAsia="Arial"/>
                <w:b/>
                <w:sz w:val="22"/>
                <w:szCs w:val="22"/>
              </w:rPr>
              <w:t>.</w:t>
            </w:r>
          </w:p>
        </w:tc>
      </w:tr>
      <w:tr w:rsidR="003E2CB5" w:rsidRPr="003E2CB5" w:rsidTr="006A5DE9">
        <w:trPr>
          <w:trHeight w:val="1290"/>
        </w:trPr>
        <w:tc>
          <w:tcPr>
            <w:tcW w:w="2268" w:type="dxa"/>
            <w:shd w:val="clear" w:color="auto" w:fill="auto"/>
          </w:tcPr>
          <w:p w:rsidR="003E2CB5" w:rsidRPr="003E2CB5" w:rsidRDefault="003E2CB5" w:rsidP="003E2C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E2CB5">
              <w:rPr>
                <w:b/>
                <w:sz w:val="20"/>
                <w:szCs w:val="20"/>
              </w:rPr>
              <w:t>26.40.31.190-00000001 - Специальное устройство для чтения "говорящих книг" на флэш-картах</w:t>
            </w:r>
            <w:r w:rsidRPr="003E2CB5">
              <w:rPr>
                <w:b/>
                <w:sz w:val="20"/>
                <w:szCs w:val="20"/>
              </w:rPr>
              <w:tab/>
            </w:r>
          </w:p>
          <w:p w:rsidR="003E2CB5" w:rsidRPr="003E2CB5" w:rsidRDefault="003E2CB5" w:rsidP="003E2C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E2CB5">
              <w:rPr>
                <w:b/>
                <w:sz w:val="20"/>
                <w:szCs w:val="20"/>
              </w:rPr>
              <w:t>01.28.13.01.01 Специальное устройство для чтения "говорящих книг" на флэш-картах</w:t>
            </w:r>
          </w:p>
          <w:p w:rsidR="003E2CB5" w:rsidRPr="003E2CB5" w:rsidRDefault="003E2CB5" w:rsidP="00CE5E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Специальное устройство для чтения «говорящих книг» на флеш-картах предназначено для воспроизведения «говорящих книг», записанных в специальном криптозащищенном формате, предусмотренных исключительно для использования слепыми и слабовидящими утвержденным Постановлением Правительства Российской Федерации от 23 января 2016 года № 32.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Устройства предназначены для воспроизведения «говорящих книг» международного формата DAISY, аудио файлов и электронных текстов из фондов Российской государственной библиотеки для слепых, специальных библиотек и школ для слепых.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Устройства должны способствовать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Устройства должны отвечать требованиям к безопасности товара в соответствии с техническими регламентами Таможенного союза: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ТР ТС 004/2011 «О безопасности низковольтного оборудования»,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ТР ТС 020/2011 «Электромагнитная совместимость технических средств».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Упаковка, маркировка, транспортирование и хранение устройств должны осуществляться с соблюдением требований ГОСТ 28594-90 «Аппаратура радиоэлектронная бытовая. Упаковка, маркировка, транспортирование и хранение».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Поставщик должен располагать специализированной мастерской (Сервисной службой) для гарантийного обслуживания поставленных устройств.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 xml:space="preserve">Срок службы товара должен составлять не менее 7 лет. 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b/>
                <w:iCs/>
                <w:color w:val="000000"/>
                <w:spacing w:val="-4"/>
                <w:sz w:val="20"/>
                <w:szCs w:val="20"/>
              </w:rPr>
              <w:t>Устройство</w:t>
            </w: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 xml:space="preserve"> </w:t>
            </w:r>
            <w:r w:rsidRPr="003E2CB5">
              <w:rPr>
                <w:b/>
                <w:iCs/>
                <w:color w:val="000000"/>
                <w:spacing w:val="-4"/>
                <w:sz w:val="20"/>
                <w:szCs w:val="20"/>
              </w:rPr>
              <w:t>должно воспроизводить «говорящие книги», звуковые и электронные текстовые файлы следующих форматов: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 xml:space="preserve"> «Говорящие книги», записанные в специализированном формате на флеш-картах типа SD, SDHC и SDXC с применением трехпроходного поточного блочного шифрования содержимого MP3 файлов по алгоритму ХХТЕА с длиной ключа криптозащиты 128-бит.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 xml:space="preserve"> - озвученная перемотка в пределах всей книги в прямом и обратном направлениях;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речевая навигация в прямом и обратном направлениях по книгам, фрагментам, закладкам;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текущего места воспроизведения: номера книги, номера фрагмента, времени от начала книги и общего времени звучания книги;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встроенным синтезатором речи имени автора и названия книги.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«Говорящие книги» международного формата DAISY (DAISY 2.0, DAISY 2.02).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перемотка в пределах всей книги в прямом и обратном направлениях;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книги (отдельный список для каждой книги);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озвученная речевая навигация в прямом и обратном направлениях по заголовкам, группам, страницам, фразам и закладкам;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текущего места воспроизведения: времени от начала книги и общего времени звучания книги;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встроенным синтезатором речи имени автора и названия книги.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lastRenderedPageBreak/>
              <w:t>Аудиофайлы формата MP3 с битрейтом от 8 до 320 кбит/сек, форматов Ogg Vorbis, FLAC, WAVE (PCM), AAC.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перемотка в пределах папки в прямом и обратном направлениях;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каждой папки (отдельный список для каждой папки);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речевая навигация в прямом и обратном направлениях по папкам, файлам, закладкам;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текущего места воспроизведения встроенным русскоязычным синтезатором речи: имени файла, включая длинные имена (максимальное количество символов не менее 255).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Воспроизведение файлов электронных текстовых форматов: TXT (в кодировках СР1251, UTF-8), HTML и Microsoft Word (DOC), при помощи встроенного русскоязычного синтезатора речи. Синтезатор речи должен соответствовать высшему классу качества по ГОСТ Р 50840-95 пункт 8.4. «Передача речи по трактам связи. Методы оценки качества, разборчивости и узнаваемости».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При этом устройство должно выполнять следующие функции: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перемотка в пределах файла в прямом и обратном направлениях;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возможность устанавливать «электронные закладки» (маркировка необходимого места на фонограмме и воспроизведение с установленного места) в количестве - не менее 50 для каждого файла (отдельный список для каждого файла);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плавная (или ступенчатая с количеством градаций не менее 11) регулировка скорости воспроизведения в сторону уменьшения до 0,5 крат и увеличения до 3-х крат без изменения тембра голоса;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озвученная речевая навигация в прямом и обратном направлениях по папкам, файлам, предложениям, закладкам, процентам;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озвучивание текущего места воспроизведения встроенным синтезатором речи: имени файла (включая длинные имена (максимальное количество символов не менее 255) и количества прочитанного в процентах.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иметь возможность соединения с сетью интернет по беспроводному интерфейсу Wi-Fi, реализуемому с помощью встроенного в устройство модуля Wi-Fi или внешнего подключаемого USB Wi-Fi модуля, входящего в комплект поставки устройства.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поддерживать работу с сервисами сетевых электронных библиотек для инвалидов по зрению по протоколу DAISY Online Delivery Protocol (DODP). При этом пользователь должен иметь следующие возможности выбора книг: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самостоятельный выбор книг путем текстового и голосового поиска по навигационному меню;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загрузка выбранных книг из электронной полки и библиотечной базы в тифлофлешплеер;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онлайн прослушивание выбранных книг без их загрузки в тифлофлешплеер с сохранением позиции воспроизведения каждой книги.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иметь встроенный FM-радиоприемник со следующими техническими параметрами и функциональными характеристиками: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диапазон принимаемых частот: не уже чем 64-108 МГц,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тип приемной антенны: телескопическая или внутренняя,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наличие функции сохранения в памяти устройства настроек на определенные радиостанции в количестве не менее 50,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возможность озвученной речевой навигации по сохраненным в памяти устройства радиостанциям,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наличие режима записи с радиоприемника на флеш-карту (или во внутреннюю память) с возможностью последующего воспроизведения.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иметь встроенный диктофон со следующими функциональными характеристиками: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lastRenderedPageBreak/>
              <w:t>- запись на флеш-карту (или во внутреннюю память) со встроенного и с внешнего микрофонов и последующего воспроизведения;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редактирование записей, выполненных в режиме диктофона (вырезка фрагмента, вставка новой записи).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обеспечивать работу со следующими типами носителей информации: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флеш-карты типа SD, SDHC и SDXC с максимальным возможным объемом не менее 64 ГБ,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USB флеш-накопитель,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внутренняя флеш-память.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обеспечивать работу с носителями информации, поддерживающими файловую структуру FAT и FAT32.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Устройство должно обеспечивать возможность прослушивания как через встроенную акустическую систему, так и с использованием стереонаушников. Встроенная акустическая система должна содержать широкополосные громкоговорители, расположенные в разных плоскостях для достижения стереоэффекта и иметь звукопроницаемую защиту от внешних повреждений.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Суммарная выходная мощность встроенной акустической системы: не менее 4,0 Вт. Диапазон воспроизводимых частот: не уже чем 100-10000 Гц.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Регулировка громкости во всех режимах работы устройства должна быть плавной или ступенчатой с количеством градаций не менее 25.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Наличие режима автоматического отключения устройства при отсутствии активности пользователя (режим "Сон") с возможностью настройки таймера автоматического отключения устройства.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При повторном включении аппарата после его выключения должны сохраняться следующие параметры работы устройства: режим, громкость воспроизведения, место воспроизведения фонограммы или частота радиостанции.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Наличие режима записи на флеш-карту (или во внутреннюю память) с внешних аудио-источников через линейный вход с возможностью последующего воспроизведения.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Наличие функции блокировки клавиатуры.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Обновление внутреннего программного обеспечения должно производиться из файлов, записанных на флеш-карте.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Корпус тифлофлешплеера должен быть изготовлен из высокопрочного АБС пластика.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Клавиатура управления должна быть кнопочной (или клавишной). Все кнопки (или клавиши) управления должны быть снабжены звуковым сигнализатором (речевым информатором) и тактильными обозначениями.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Все надписи, знаки и символы, указывающие на назначение органов управления тифлофлешплеера, должны быть выполнены рельефно-точечным шрифтом Брайля или рельефными буквами русского алфавита и (или) арабскими цифрами и (или) знаками символов.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Питание устройства, комбинированное: от сети 220 В, 50 Гц и от встроенного аккумулятора. Время автономной работы от аккумулятора не менее 6 часов в режиме чтения «говорящей книги» через встроенную акустическую систему при среднем уровне громкости. Время полной зарядки аккумулятора не более 7 часов.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Габаритные размеры: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длина не менее 170 мм и не более 200 мм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высота не менее 100 мм и не более 140 мм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глубина не менее 30 мм и не более 80 мм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Масса: не более 0,5 кг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В комплект поставки должны входить: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специальное устройство для чтения «говорящих книг» на флеш-картах;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флеш-карта объемом не менее 2 ГБ с записанными в специализированном формате "говорящими книгами";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сетевой адаптер;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наушники;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паспорт изделия;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плоскопечатное (крупным шрифтом) руководство по эксплуатации на русском языке;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lastRenderedPageBreak/>
              <w:t>- звуковое (на флеш-карте или во внутренней памяти) руководство по эксплуатации;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ремень или сумка для переноски;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упаковочная коробка;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кабель USB для соединения устройства с компьютером;</w:t>
            </w:r>
          </w:p>
          <w:p w:rsidR="003E2CB5" w:rsidRPr="003E2CB5" w:rsidRDefault="003E2CB5" w:rsidP="003E2CB5">
            <w:pPr>
              <w:spacing w:line="276" w:lineRule="auto"/>
              <w:ind w:firstLine="318"/>
              <w:rPr>
                <w:iCs/>
                <w:color w:val="000000"/>
                <w:spacing w:val="-4"/>
                <w:sz w:val="20"/>
                <w:szCs w:val="20"/>
              </w:rPr>
            </w:pPr>
            <w:r w:rsidRPr="003E2CB5">
              <w:rPr>
                <w:iCs/>
                <w:color w:val="000000"/>
                <w:spacing w:val="-4"/>
                <w:sz w:val="20"/>
                <w:szCs w:val="20"/>
              </w:rPr>
              <w:t>- гарантийный талон.</w:t>
            </w:r>
          </w:p>
        </w:tc>
        <w:tc>
          <w:tcPr>
            <w:tcW w:w="851" w:type="dxa"/>
            <w:shd w:val="clear" w:color="auto" w:fill="auto"/>
          </w:tcPr>
          <w:p w:rsidR="003E2CB5" w:rsidRPr="003E2CB5" w:rsidRDefault="006A5DE9" w:rsidP="00DF3B52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3E2CB5" w:rsidRPr="003E2CB5">
              <w:rPr>
                <w:sz w:val="20"/>
                <w:szCs w:val="20"/>
              </w:rPr>
              <w:t>0</w:t>
            </w:r>
          </w:p>
        </w:tc>
      </w:tr>
    </w:tbl>
    <w:p w:rsidR="00106767" w:rsidRPr="003E2CB5" w:rsidRDefault="00106767" w:rsidP="00DF3B52">
      <w:pPr>
        <w:pStyle w:val="formattext"/>
        <w:tabs>
          <w:tab w:val="left" w:pos="9923"/>
        </w:tabs>
        <w:spacing w:before="0" w:beforeAutospacing="0" w:after="0" w:afterAutospacing="0"/>
        <w:ind w:right="-24" w:firstLine="567"/>
        <w:jc w:val="both"/>
        <w:rPr>
          <w:bCs/>
        </w:rPr>
      </w:pP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Поставляемый 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основных частей, не были восстановлены потребительские свойства).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b/>
          <w:color w:val="000000" w:themeColor="text1"/>
          <w:kern w:val="2"/>
        </w:rPr>
        <w:t>Требования к безопасности товара</w:t>
      </w:r>
      <w:r>
        <w:rPr>
          <w:color w:val="000000" w:themeColor="text1"/>
          <w:kern w:val="2"/>
        </w:rPr>
        <w:t>.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Специальные устройства для чтения «говорящих книг» должны отвечать требованиям к безопасности товара в соответствии с техническими регламентами Таможенного союза: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ТР ТС 004/2011 «О безопасности низковольтного оборудования»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ТР ТС 020/2011 «Электромагнитная совместимость технических средств».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В соответствии с Постановлением Правительства от 31.12.2009 г. № 1221 класс энергетической эффективности должен быть не ниже класса «А»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b/>
          <w:color w:val="000000" w:themeColor="text1"/>
          <w:kern w:val="2"/>
        </w:rPr>
      </w:pPr>
      <w:r w:rsidRPr="003E2CB5">
        <w:rPr>
          <w:b/>
          <w:color w:val="000000" w:themeColor="text1"/>
          <w:kern w:val="2"/>
        </w:rPr>
        <w:t>Требования к маркировке, упаковке, отгрузке.</w:t>
      </w:r>
    </w:p>
    <w:p w:rsidR="003E2CB5" w:rsidRP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Упаковка, маркировка, транспортирование и хранение специальных устройств для чтения «говорящих книг» должны осуществляться с соблюдением требований ГОСТ 28594-90.</w:t>
      </w:r>
    </w:p>
    <w:p w:rsidR="003E2CB5" w:rsidRDefault="003E2CB5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b/>
          <w:color w:val="000000" w:themeColor="text1"/>
          <w:kern w:val="2"/>
        </w:rPr>
      </w:pPr>
      <w:r w:rsidRPr="003E2CB5">
        <w:rPr>
          <w:color w:val="000000" w:themeColor="text1"/>
          <w:kern w:val="2"/>
        </w:rPr>
        <w:t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</w:t>
      </w:r>
      <w:r w:rsidRPr="003E2CB5">
        <w:rPr>
          <w:b/>
          <w:color w:val="000000" w:themeColor="text1"/>
          <w:kern w:val="2"/>
        </w:rPr>
        <w:t>.</w:t>
      </w:r>
    </w:p>
    <w:p w:rsidR="00106767" w:rsidRPr="00461BAA" w:rsidRDefault="00106767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b/>
          <w:color w:val="000000" w:themeColor="text1"/>
          <w:kern w:val="2"/>
        </w:rPr>
      </w:pPr>
      <w:r w:rsidRPr="00461BAA">
        <w:rPr>
          <w:b/>
          <w:color w:val="000000" w:themeColor="text1"/>
          <w:kern w:val="2"/>
        </w:rPr>
        <w:t>Сроки предоставления гарантии качества.</w:t>
      </w:r>
    </w:p>
    <w:p w:rsidR="00106767" w:rsidRPr="00461BAA" w:rsidRDefault="00106767" w:rsidP="003E2CB5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461BAA">
        <w:rPr>
          <w:color w:val="000000" w:themeColor="text1"/>
          <w:kern w:val="2"/>
        </w:rPr>
        <w:t xml:space="preserve">Гарантийный срок эксплуатации должен составлять не менее </w:t>
      </w:r>
      <w:r w:rsidR="003E2CB5">
        <w:rPr>
          <w:color w:val="000000" w:themeColor="text1"/>
          <w:kern w:val="2"/>
        </w:rPr>
        <w:t>24</w:t>
      </w:r>
      <w:r w:rsidRPr="00461BAA">
        <w:rPr>
          <w:color w:val="000000" w:themeColor="text1"/>
          <w:kern w:val="2"/>
        </w:rPr>
        <w:t xml:space="preserve"> месяцев с момента подписания Акта сдачи-приемки Товара Получателем,</w:t>
      </w:r>
      <w:r w:rsidRPr="00461BAA">
        <w:rPr>
          <w:color w:val="000000" w:themeColor="text1"/>
        </w:rPr>
        <w:t xml:space="preserve"> </w:t>
      </w:r>
      <w:r w:rsidRPr="00461BAA">
        <w:rPr>
          <w:color w:val="000000" w:themeColor="text1"/>
          <w:kern w:val="2"/>
        </w:rPr>
        <w:t xml:space="preserve">но не менее сроков, установленных изготовителем. </w:t>
      </w:r>
    </w:p>
    <w:p w:rsidR="00106767" w:rsidRPr="00461BAA" w:rsidRDefault="00106767" w:rsidP="00106767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461BAA">
        <w:rPr>
          <w:color w:val="000000" w:themeColor="text1"/>
          <w:kern w:val="2"/>
        </w:rPr>
        <w:t>Обязательно наличие гарантийных талонов, дающих право на бесплатный ремонт Товара во время гарантийного срока пользования. Обязательно указание адресов организаций, в которые следует обращаться для гарантийного ремонта Товара или устранения неисправностей.</w:t>
      </w:r>
    </w:p>
    <w:p w:rsidR="00106767" w:rsidRPr="00461BAA" w:rsidRDefault="00106767" w:rsidP="00106767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461BAA">
        <w:rPr>
          <w:color w:val="000000" w:themeColor="text1"/>
          <w:kern w:val="2"/>
        </w:rPr>
        <w:t>Срок гарантийного ремонта со дня обращения Получателя не должен превышать 20 (двадцать) рабочих дней.</w:t>
      </w:r>
    </w:p>
    <w:p w:rsidR="00106767" w:rsidRPr="00461BAA" w:rsidRDefault="00106767" w:rsidP="00106767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461BAA">
        <w:rPr>
          <w:color w:val="000000" w:themeColor="text1"/>
          <w:kern w:val="2"/>
        </w:rPr>
        <w:t xml:space="preserve">Поставщик несет все расходы, связанные с гарантийным обслуживанием Товара на протяжении всего гарантийного срока.   </w:t>
      </w:r>
    </w:p>
    <w:p w:rsidR="00106767" w:rsidRPr="00461BAA" w:rsidRDefault="00106767" w:rsidP="00106767">
      <w:pPr>
        <w:widowControl w:val="0"/>
        <w:autoSpaceDE w:val="0"/>
        <w:autoSpaceDN w:val="0"/>
        <w:adjustRightInd w:val="0"/>
        <w:spacing w:line="100" w:lineRule="atLeast"/>
        <w:ind w:firstLine="567"/>
        <w:rPr>
          <w:color w:val="000000" w:themeColor="text1"/>
          <w:kern w:val="2"/>
        </w:rPr>
      </w:pPr>
      <w:r w:rsidRPr="00461BAA">
        <w:rPr>
          <w:b/>
          <w:color w:val="000000" w:themeColor="text1"/>
          <w:kern w:val="2"/>
        </w:rPr>
        <w:t>Сроки пользования:</w:t>
      </w:r>
      <w:r w:rsidRPr="00461BAA">
        <w:rPr>
          <w:color w:val="000000" w:themeColor="text1"/>
          <w:kern w:val="2"/>
        </w:rPr>
        <w:t xml:space="preserve"> Товар должен иметь установленный производителем срок пользования, который со дня подписания Акта приема-передачи Товара Получателем,  должен быть  не менее срока пользования,  утвержденного  приказом Министерства труда и социальной защиты Российской Федерации 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06767" w:rsidRPr="00461BAA" w:rsidRDefault="00106767" w:rsidP="00727F45">
      <w:pPr>
        <w:pStyle w:val="3"/>
        <w:widowControl w:val="0"/>
        <w:spacing w:before="120"/>
        <w:ind w:firstLine="567"/>
        <w:jc w:val="both"/>
        <w:rPr>
          <w:color w:val="000000" w:themeColor="text1"/>
          <w:sz w:val="24"/>
          <w:szCs w:val="24"/>
        </w:rPr>
      </w:pPr>
      <w:r w:rsidRPr="00461BAA">
        <w:rPr>
          <w:b/>
          <w:color w:val="000000" w:themeColor="text1"/>
          <w:sz w:val="24"/>
          <w:szCs w:val="24"/>
        </w:rPr>
        <w:t xml:space="preserve">Место поставки товара: </w:t>
      </w:r>
      <w:r w:rsidRPr="00461BAA">
        <w:rPr>
          <w:color w:val="000000" w:themeColor="text1"/>
          <w:sz w:val="24"/>
          <w:szCs w:val="24"/>
        </w:rPr>
        <w:t>Российская Федерация, Республика Северная Осетия-Алания. Поставка должна  осуществляться по месту жительства инвалида или по месту нахождения пункта (пунктов)  выдачи, организованных Поставщиком.</w:t>
      </w:r>
    </w:p>
    <w:p w:rsidR="00727F45" w:rsidRPr="00461BAA" w:rsidRDefault="00106767" w:rsidP="00727F45">
      <w:pPr>
        <w:tabs>
          <w:tab w:val="left" w:pos="9923"/>
        </w:tabs>
        <w:spacing w:before="120" w:after="120"/>
        <w:ind w:right="-23" w:firstLine="567"/>
        <w:rPr>
          <w:color w:val="000000" w:themeColor="text1"/>
          <w:lang w:eastAsia="x-none"/>
        </w:rPr>
      </w:pPr>
      <w:r w:rsidRPr="00461BAA">
        <w:rPr>
          <w:b/>
          <w:color w:val="000000" w:themeColor="text1"/>
          <w:lang w:eastAsia="x-none"/>
        </w:rPr>
        <w:t xml:space="preserve">Срок поставки товара: </w:t>
      </w:r>
      <w:r w:rsidR="00727F45" w:rsidRPr="00727F45">
        <w:rPr>
          <w:color w:val="000000" w:themeColor="text1"/>
          <w:lang w:eastAsia="x-none"/>
        </w:rPr>
        <w:t>В течение 10 (десяти) рабочих дней после заключения контракта на склад поставщика, расположенный на территории РСО-Алания, должно быть поставлено не менее 100 (ста) % общего объема товара,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25 декабря 2023 года, на основании Направления в течение 20 (двадцати)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</w:t>
      </w:r>
    </w:p>
    <w:p w:rsidR="00106767" w:rsidRPr="00461BAA" w:rsidRDefault="00106767" w:rsidP="00106767">
      <w:pPr>
        <w:ind w:firstLine="567"/>
        <w:rPr>
          <w:color w:val="000000" w:themeColor="text1"/>
        </w:rPr>
      </w:pPr>
      <w:r w:rsidRPr="00461BAA">
        <w:rPr>
          <w:color w:val="000000" w:themeColor="text1"/>
        </w:rPr>
        <w:t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п. 6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в позиции каталога.</w:t>
      </w:r>
    </w:p>
    <w:p w:rsidR="00106767" w:rsidRPr="00461BAA" w:rsidRDefault="00106767" w:rsidP="00106767">
      <w:pPr>
        <w:ind w:right="142" w:firstLine="567"/>
        <w:rPr>
          <w:color w:val="000000" w:themeColor="text1"/>
        </w:rPr>
      </w:pPr>
      <w:r w:rsidRPr="00461BAA">
        <w:rPr>
          <w:color w:val="000000" w:themeColor="text1"/>
        </w:rPr>
        <w:t xml:space="preserve"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</w:t>
      </w:r>
      <w:r w:rsidRPr="00461BAA">
        <w:rPr>
          <w:color w:val="000000" w:themeColor="text1"/>
        </w:rPr>
        <w:lastRenderedPageBreak/>
        <w:t>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Заказчика, на основе анализа технических и качественных характеристик, имеющихся на рынке РФ, исходя из потребностей Заказчика, определенных на основании предоставленных инвалидами индивидуальных программ реабилитации.</w:t>
      </w:r>
    </w:p>
    <w:p w:rsidR="00106767" w:rsidRPr="00461BAA" w:rsidRDefault="00106767" w:rsidP="00106767">
      <w:pPr>
        <w:ind w:firstLine="567"/>
        <w:jc w:val="left"/>
        <w:rPr>
          <w:b/>
          <w:color w:val="000000" w:themeColor="text1"/>
        </w:rPr>
      </w:pPr>
    </w:p>
    <w:p w:rsidR="00106767" w:rsidRPr="00461BAA" w:rsidRDefault="00106767" w:rsidP="00106767">
      <w:pPr>
        <w:tabs>
          <w:tab w:val="left" w:pos="9923"/>
        </w:tabs>
        <w:ind w:right="-24" w:firstLine="567"/>
        <w:rPr>
          <w:color w:val="FF0000"/>
        </w:rPr>
      </w:pPr>
    </w:p>
    <w:sectPr w:rsidR="00106767" w:rsidRPr="00461BAA" w:rsidSect="0010676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5BF3"/>
    <w:multiLevelType w:val="hybridMultilevel"/>
    <w:tmpl w:val="72D2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C16E2"/>
    <w:multiLevelType w:val="hybridMultilevel"/>
    <w:tmpl w:val="0388DA6A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5D"/>
    <w:rsid w:val="000020A9"/>
    <w:rsid w:val="00020CAE"/>
    <w:rsid w:val="00106767"/>
    <w:rsid w:val="001736BE"/>
    <w:rsid w:val="00192C12"/>
    <w:rsid w:val="002020E6"/>
    <w:rsid w:val="0023616D"/>
    <w:rsid w:val="002867D0"/>
    <w:rsid w:val="002E0BF8"/>
    <w:rsid w:val="0031742C"/>
    <w:rsid w:val="003E2CB5"/>
    <w:rsid w:val="00461BAA"/>
    <w:rsid w:val="00536C9F"/>
    <w:rsid w:val="0055478D"/>
    <w:rsid w:val="006A5DE9"/>
    <w:rsid w:val="00727F45"/>
    <w:rsid w:val="00866A8C"/>
    <w:rsid w:val="008B4C93"/>
    <w:rsid w:val="00991EF9"/>
    <w:rsid w:val="00B366D3"/>
    <w:rsid w:val="00BC65CA"/>
    <w:rsid w:val="00C81B25"/>
    <w:rsid w:val="00C84CE8"/>
    <w:rsid w:val="00CA4D99"/>
    <w:rsid w:val="00CE5EBE"/>
    <w:rsid w:val="00D4795D"/>
    <w:rsid w:val="00DD36E9"/>
    <w:rsid w:val="00DF3B52"/>
    <w:rsid w:val="00E05902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F128-0E1F-4A29-B365-86A9DE6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78D"/>
    <w:pPr>
      <w:tabs>
        <w:tab w:val="num" w:pos="360"/>
      </w:tabs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C65CA"/>
    <w:pPr>
      <w:ind w:left="720"/>
      <w:contextualSpacing/>
      <w:jc w:val="left"/>
    </w:pPr>
  </w:style>
  <w:style w:type="paragraph" w:customStyle="1" w:styleId="formattext">
    <w:name w:val="formattext"/>
    <w:basedOn w:val="a"/>
    <w:rsid w:val="00BC65CA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BC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65C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C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067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106767"/>
    <w:pPr>
      <w:spacing w:after="12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0676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Касабиева Эльмира Эльбрусовна</dc:creator>
  <cp:keywords/>
  <dc:description/>
  <cp:lastModifiedBy>Касабиева Эльмира Эльбрусовна</cp:lastModifiedBy>
  <cp:revision>23</cp:revision>
  <cp:lastPrinted>2022-10-13T08:22:00Z</cp:lastPrinted>
  <dcterms:created xsi:type="dcterms:W3CDTF">2022-02-17T12:26:00Z</dcterms:created>
  <dcterms:modified xsi:type="dcterms:W3CDTF">2023-03-06T08:10:00Z</dcterms:modified>
</cp:coreProperties>
</file>