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6C1574" w:rsidRDefault="00601C06" w:rsidP="002750A5">
      <w:pPr>
        <w:tabs>
          <w:tab w:val="left" w:pos="5954"/>
        </w:tabs>
        <w:ind w:left="5954"/>
        <w:jc w:val="right"/>
      </w:pPr>
      <w:r w:rsidRPr="006C1574">
        <w:t xml:space="preserve">Приложение 1 к извещению </w:t>
      </w:r>
    </w:p>
    <w:p w:rsidR="00E017AF" w:rsidRPr="006C1574" w:rsidRDefault="00601C06" w:rsidP="00973737">
      <w:pPr>
        <w:ind w:left="6663"/>
        <w:jc w:val="right"/>
      </w:pPr>
      <w:r w:rsidRPr="006C1574">
        <w:t>об осуществлении закупки</w:t>
      </w:r>
    </w:p>
    <w:p w:rsidR="00E017AF" w:rsidRPr="006C1574" w:rsidRDefault="00E017AF" w:rsidP="00E017AF">
      <w:pPr>
        <w:ind w:left="5103"/>
        <w:rPr>
          <w:b/>
        </w:rPr>
      </w:pPr>
    </w:p>
    <w:p w:rsidR="003673B7" w:rsidRPr="006C1574" w:rsidRDefault="00E017AF" w:rsidP="00B629C6">
      <w:pPr>
        <w:ind w:firstLine="709"/>
        <w:rPr>
          <w:b/>
          <w:bCs/>
        </w:rPr>
      </w:pPr>
      <w:r w:rsidRPr="006C1574">
        <w:rPr>
          <w:b/>
          <w:bCs/>
        </w:rPr>
        <w:t xml:space="preserve">       </w:t>
      </w:r>
      <w:r w:rsidR="00B629C6" w:rsidRPr="006C1574">
        <w:rPr>
          <w:b/>
          <w:bCs/>
        </w:rPr>
        <w:t xml:space="preserve">                             </w:t>
      </w:r>
    </w:p>
    <w:p w:rsidR="00544F2A" w:rsidRPr="006C1574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6C1574"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6C1574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6C1574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6C1574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Pr="006C1574" w:rsidRDefault="002750A5" w:rsidP="00B629C6">
      <w:pPr>
        <w:ind w:firstLine="720"/>
        <w:jc w:val="center"/>
        <w:rPr>
          <w:rFonts w:eastAsia="Lucida Sans Unicode"/>
          <w:b/>
          <w:color w:val="000000"/>
          <w:lang w:bidi="en-US"/>
        </w:rPr>
      </w:pPr>
      <w:r w:rsidRPr="006C1574">
        <w:rPr>
          <w:b/>
        </w:rPr>
        <w:t xml:space="preserve">на выполнение работ </w:t>
      </w:r>
      <w:r w:rsidRPr="006C1574">
        <w:rPr>
          <w:rFonts w:eastAsia="Lucida Sans Unicode"/>
          <w:b/>
          <w:color w:val="000000"/>
          <w:lang w:bidi="en-US"/>
        </w:rPr>
        <w:t xml:space="preserve">по изготовлению протезно-ортопедических изделий (протезы </w:t>
      </w:r>
      <w:r w:rsidR="0093118A" w:rsidRPr="006C1574">
        <w:rPr>
          <w:rFonts w:eastAsia="Lucida Sans Unicode"/>
          <w:b/>
          <w:color w:val="000000"/>
          <w:lang w:bidi="en-US"/>
        </w:rPr>
        <w:t>верх</w:t>
      </w:r>
      <w:r w:rsidR="002B11CD">
        <w:rPr>
          <w:rFonts w:eastAsia="Lucida Sans Unicode"/>
          <w:b/>
          <w:color w:val="000000"/>
          <w:lang w:bidi="en-US"/>
        </w:rPr>
        <w:t>них конечностей)</w:t>
      </w:r>
      <w:r w:rsidR="002B11CD" w:rsidRPr="002B11CD">
        <w:rPr>
          <w:rFonts w:eastAsia="Lucida Sans Unicode"/>
          <w:b/>
          <w:color w:val="000000"/>
          <w:lang w:bidi="en-US"/>
        </w:rPr>
        <w:t>, в целях социального обеспечения граждан</w:t>
      </w:r>
      <w:r w:rsidR="00537A76">
        <w:rPr>
          <w:rFonts w:eastAsia="Lucida Sans Unicode"/>
          <w:b/>
          <w:color w:val="000000"/>
          <w:lang w:bidi="en-US"/>
        </w:rPr>
        <w:t xml:space="preserve"> в 2024 году.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983"/>
        <w:gridCol w:w="2142"/>
        <w:gridCol w:w="7160"/>
      </w:tblGrid>
      <w:tr w:rsidR="0093118A" w:rsidRPr="00AA5538" w:rsidTr="008C72A9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5538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A5538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A5538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5538">
              <w:rPr>
                <w:b/>
                <w:bCs/>
                <w:color w:val="000000"/>
                <w:sz w:val="18"/>
                <w:szCs w:val="18"/>
              </w:rPr>
              <w:t>Номер вида ТСР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b/>
                <w:bCs/>
                <w:sz w:val="18"/>
                <w:szCs w:val="18"/>
              </w:rPr>
            </w:pPr>
            <w:r w:rsidRPr="00AA5538">
              <w:rPr>
                <w:b/>
                <w:bCs/>
                <w:sz w:val="18"/>
                <w:szCs w:val="18"/>
              </w:rPr>
              <w:t>вид и наименование изделия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5538">
              <w:rPr>
                <w:b/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93118A" w:rsidRPr="00AA5538" w:rsidTr="008C72A9">
        <w:trPr>
          <w:trHeight w:val="112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8-01-02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rFonts w:eastAsia="Calibri"/>
                <w:sz w:val="18"/>
                <w:szCs w:val="18"/>
                <w:lang w:eastAsia="en-US"/>
              </w:rPr>
              <w:t>Протез при частичной ампутации кисти, косметический, оболочка силиконовая с армирующей сеткой с индивидуальной доработкой, приемная гильза отсутствует</w:t>
            </w:r>
          </w:p>
        </w:tc>
      </w:tr>
      <w:tr w:rsidR="0093118A" w:rsidRPr="00AA5538" w:rsidTr="008C72A9">
        <w:trPr>
          <w:trHeight w:val="98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8-01-03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косметический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косметический с функционально-косметической  каркасной силиконовой кистью, устойчивой к загрязнениям, и приемной гильзой из литьевого слоисто</w:t>
            </w:r>
            <w:bookmarkStart w:id="0" w:name="_GoBack"/>
            <w:bookmarkEnd w:id="0"/>
            <w:r w:rsidRPr="00AA5538">
              <w:rPr>
                <w:sz w:val="18"/>
                <w:szCs w:val="18"/>
              </w:rPr>
              <w:t>го пластика с применением в качестве основы материала из полиамидных или карбоновых волокон,  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</w:tr>
      <w:tr w:rsidR="0093118A" w:rsidRPr="00AA5538" w:rsidTr="008C72A9">
        <w:trPr>
          <w:trHeight w:val="12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8-01-03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косметический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косметический с креплением полимерным чехлом с замком, с функционально-косметической 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 индивидуальной по гипсовому  слепку с культи пациента, с изготовлением тестовой приемной гильзы из высокотемпературного пластика.</w:t>
            </w:r>
          </w:p>
        </w:tc>
      </w:tr>
      <w:tr w:rsidR="0093118A" w:rsidRPr="00AA5538" w:rsidTr="008C72A9">
        <w:trPr>
          <w:trHeight w:val="12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8-01-04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косметический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косметический с функционально-косметической 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 карбоновых волокон,  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</w:tr>
      <w:tr w:rsidR="0093118A" w:rsidRPr="00AA5538" w:rsidTr="008C72A9">
        <w:trPr>
          <w:trHeight w:val="1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8-01-04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косметический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косметический с креплением полимерным чехлом с замком с функционально-косметической 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</w:tr>
      <w:tr w:rsidR="0093118A" w:rsidRPr="00AA5538" w:rsidTr="008C72A9">
        <w:trPr>
          <w:trHeight w:val="12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8-02-01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при частичной ампутации кисти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</w:tr>
      <w:tr w:rsidR="0093118A" w:rsidRPr="00AA5538" w:rsidTr="008C72A9">
        <w:trPr>
          <w:trHeight w:val="11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8-02-02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рабочий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</w:tr>
      <w:tr w:rsidR="0093118A" w:rsidRPr="00AA5538" w:rsidTr="008C72A9">
        <w:trPr>
          <w:trHeight w:val="14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8-02-03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рабочий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 и бандажа.</w:t>
            </w:r>
          </w:p>
        </w:tc>
      </w:tr>
      <w:tr w:rsidR="0093118A" w:rsidRPr="00AA5538" w:rsidTr="008C72A9">
        <w:trPr>
          <w:trHeight w:val="3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8-03-01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18A" w:rsidRPr="00AA5538" w:rsidRDefault="0093118A" w:rsidP="008C72A9">
            <w:pPr>
              <w:jc w:val="both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 xml:space="preserve">Протез кисти активный с механической (тяговой) системой управления. Предназначен для компенсации врожденных и ампутационных дефектов кисти, при сохранении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лечезапястного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сустава.</w:t>
            </w:r>
          </w:p>
          <w:p w:rsidR="0093118A" w:rsidRPr="00AA5538" w:rsidRDefault="0093118A" w:rsidP="008C72A9">
            <w:pPr>
              <w:jc w:val="both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Изготовление протеза кисти активного может производится по следующим технологиям:</w:t>
            </w:r>
          </w:p>
          <w:p w:rsidR="0093118A" w:rsidRPr="00AA5538" w:rsidRDefault="0093118A" w:rsidP="008C72A9">
            <w:pPr>
              <w:jc w:val="both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 xml:space="preserve">-  Протез состоит из 2 частей – каркасные и активные элементы и приемная гильза. Гильза изготавливается по слепку из литьевого слоистого пластика на основе связующих смол, путем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или из низкотемпературных термопластиков, непосредственно на культе, и имеет две шарнирно соединенные части, одна из которых фиксируется на предплечье,  вторая плотно облегает кисть. Функция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схвата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осуществляется за счет движений в лучезапястном суставе. Тяговые тросы зафиксированы на опорной части протеза и регулируются индивидуально, что позволяет осуществлять требуемые функциональные позиции  и менять очередность движений пальцев.</w:t>
            </w:r>
          </w:p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- Приемная гильза изготавливается по гипсовому слепку с культи пациента, с изготовлением тестовой гильзы из высокотемпературного пластика и отсутствующей части кисти, выполненной методом 3</w:t>
            </w:r>
            <w:r w:rsidRPr="00AA5538">
              <w:rPr>
                <w:color w:val="000000"/>
                <w:sz w:val="18"/>
                <w:szCs w:val="18"/>
                <w:lang w:val="en-US"/>
              </w:rPr>
              <w:t>D</w:t>
            </w:r>
            <w:r w:rsidRPr="00AA5538">
              <w:rPr>
                <w:color w:val="000000"/>
                <w:sz w:val="18"/>
                <w:szCs w:val="18"/>
              </w:rPr>
              <w:t xml:space="preserve">-печати. Постоянная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полноконтактная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двухкомпонентная приемная гильза выполнена из сополимеров методом 3</w:t>
            </w:r>
            <w:r w:rsidRPr="00AA5538">
              <w:rPr>
                <w:color w:val="000000"/>
                <w:sz w:val="18"/>
                <w:szCs w:val="18"/>
                <w:lang w:val="en-US"/>
              </w:rPr>
              <w:t>D</w:t>
            </w:r>
            <w:r w:rsidRPr="00AA5538">
              <w:rPr>
                <w:color w:val="000000"/>
                <w:sz w:val="18"/>
                <w:szCs w:val="18"/>
              </w:rPr>
              <w:t xml:space="preserve">-печати с вкладышем из листового эластичного термопласта. Функция активного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схвата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реализована за счет восполнения недостающих сегментов кисти и сохранившегося объема движений в лучезапястном суставе и позволяет осуществлять два вида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схвата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(щепоть и ключ). Крепление протеза за счет анатомического рельефа и лент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велкро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. Протез комплектуется </w:t>
            </w:r>
            <w:proofErr w:type="spellStart"/>
            <w:r w:rsidRPr="00AA5538">
              <w:rPr>
                <w:color w:val="000000"/>
                <w:sz w:val="18"/>
                <w:szCs w:val="18"/>
              </w:rPr>
              <w:t>поливинилхлоридовой</w:t>
            </w:r>
            <w:proofErr w:type="spellEnd"/>
            <w:r w:rsidRPr="00AA5538">
              <w:rPr>
                <w:color w:val="000000"/>
                <w:sz w:val="18"/>
                <w:szCs w:val="18"/>
              </w:rPr>
              <w:t xml:space="preserve"> косметической оболочкой подобранной по цвету и типоразмеру.</w:t>
            </w:r>
          </w:p>
        </w:tc>
      </w:tr>
      <w:tr w:rsidR="0093118A" w:rsidRPr="00AA5538" w:rsidTr="008C72A9">
        <w:trPr>
          <w:trHeight w:val="10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8-03-02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активный (тяговый)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 xml:space="preserve">Протез предплечья с кистью с тяговым управлением и приемной гильзой 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рельефа. </w:t>
            </w:r>
          </w:p>
        </w:tc>
      </w:tr>
      <w:tr w:rsidR="0093118A" w:rsidRPr="00AA5538" w:rsidTr="008C72A9">
        <w:trPr>
          <w:trHeight w:val="9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8-03-03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активный (тяговый)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плеча с кистью с тяговым управлением и приемной гильзой 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 и бандажа.</w:t>
            </w:r>
          </w:p>
        </w:tc>
      </w:tr>
      <w:tr w:rsidR="0093118A" w:rsidRPr="00AA5538" w:rsidTr="008C72A9">
        <w:trPr>
          <w:trHeight w:val="12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8-04-02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с микропроцессорным управлением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предплечья с микропроцессорным управлением с кистью с миоэлектрическим управлением и приемной гильзой 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крепление протеза за счет анатомического рельефа.</w:t>
            </w:r>
          </w:p>
        </w:tc>
      </w:tr>
      <w:tr w:rsidR="0093118A" w:rsidRPr="00AA5538" w:rsidTr="008C72A9">
        <w:trPr>
          <w:trHeight w:val="14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center"/>
              <w:rPr>
                <w:color w:val="000000"/>
                <w:sz w:val="18"/>
                <w:szCs w:val="18"/>
              </w:rPr>
            </w:pPr>
            <w:r w:rsidRPr="00AA5538">
              <w:rPr>
                <w:color w:val="000000"/>
                <w:sz w:val="18"/>
                <w:szCs w:val="18"/>
              </w:rPr>
              <w:t>8-05-02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после вычленения плеча функционально-косметический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8A" w:rsidRPr="00AA5538" w:rsidRDefault="0093118A" w:rsidP="008C72A9">
            <w:pPr>
              <w:jc w:val="both"/>
              <w:rPr>
                <w:sz w:val="18"/>
                <w:szCs w:val="18"/>
              </w:rPr>
            </w:pPr>
            <w:r w:rsidRPr="00AA5538">
              <w:rPr>
                <w:sz w:val="18"/>
                <w:szCs w:val="18"/>
              </w:rPr>
              <w:t>Протез при вычленении плеча функционально-косметический с  функционально-косметической силиконовой каркасной кистью, устойчивой к загрязнениям, и приемной гильзой 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с креплением за счет анатомического рельефа и бандажа.</w:t>
            </w:r>
          </w:p>
        </w:tc>
      </w:tr>
    </w:tbl>
    <w:p w:rsidR="002750A5" w:rsidRPr="006C1574" w:rsidRDefault="002750A5" w:rsidP="0093118A">
      <w:pPr>
        <w:rPr>
          <w:rFonts w:eastAsia="Calibri"/>
          <w:b/>
          <w:bCs/>
          <w:color w:val="000000"/>
          <w:lang w:eastAsia="en-US" w:bidi="en-US"/>
        </w:rPr>
      </w:pPr>
    </w:p>
    <w:p w:rsidR="00B629C6" w:rsidRPr="008C72A9" w:rsidRDefault="002750A5" w:rsidP="008C72A9">
      <w:pPr>
        <w:ind w:left="426" w:firstLine="425"/>
        <w:jc w:val="both"/>
        <w:rPr>
          <w:sz w:val="18"/>
          <w:szCs w:val="18"/>
        </w:rPr>
      </w:pPr>
      <w:r w:rsidRPr="006C1574">
        <w:rPr>
          <w:sz w:val="18"/>
          <w:szCs w:val="18"/>
        </w:rPr>
        <w:t>* 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30.12.2005г. №2347-Р».</w:t>
      </w:r>
    </w:p>
    <w:p w:rsidR="00371F99" w:rsidRPr="006C1574" w:rsidRDefault="00371F99" w:rsidP="002D03B0">
      <w:pPr>
        <w:ind w:left="426" w:firstLine="567"/>
        <w:jc w:val="both"/>
        <w:rPr>
          <w:b/>
        </w:rPr>
      </w:pPr>
    </w:p>
    <w:p w:rsidR="009B4BFD" w:rsidRPr="002D03B0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proofErr w:type="gramStart"/>
      <w:r w:rsidRPr="006C1574">
        <w:rPr>
          <w:b/>
        </w:rPr>
        <w:t>Условия выполнения работ:</w:t>
      </w:r>
      <w:r w:rsidRPr="006C1574">
        <w:rPr>
          <w:color w:val="000000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  <w:proofErr w:type="gramEnd"/>
    </w:p>
    <w:p w:rsidR="009B4BFD" w:rsidRPr="006C1574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- ведение журнала телефонных звонков Получателей;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lastRenderedPageBreak/>
        <w:t>- информирование Получателей о дате, времени и месте выдачи;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C73055" w:rsidRPr="006C1574" w:rsidRDefault="00C73055" w:rsidP="002D03B0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</w:t>
      </w:r>
      <w:r w:rsidR="00235B76" w:rsidRPr="006C1574">
        <w:rPr>
          <w:rFonts w:eastAsia="Calibri"/>
          <w:lang w:eastAsia="en-US"/>
        </w:rPr>
        <w:t xml:space="preserve"> </w:t>
      </w:r>
      <w:r w:rsidRPr="006C1574">
        <w:rPr>
          <w:rFonts w:eastAsia="Calibri"/>
          <w:lang w:eastAsia="en-US"/>
        </w:rPr>
        <w:t>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</w:p>
    <w:p w:rsidR="00BF605C" w:rsidRPr="008C72A9" w:rsidRDefault="00C73055" w:rsidP="008C72A9">
      <w:pPr>
        <w:ind w:left="426" w:firstLine="567"/>
        <w:jc w:val="both"/>
        <w:rPr>
          <w:rFonts w:eastAsia="Calibri"/>
          <w:lang w:eastAsia="en-US"/>
        </w:rPr>
      </w:pPr>
      <w:r w:rsidRPr="006C1574">
        <w:rPr>
          <w:rFonts w:eastAsia="Calibri"/>
          <w:lang w:eastAsia="en-US"/>
        </w:rPr>
        <w:t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предоставить Заказчику фотоотчет или видеоотчет передачи протезно-орто</w:t>
      </w:r>
      <w:r w:rsidR="00B30D09" w:rsidRPr="006C1574">
        <w:rPr>
          <w:rFonts w:eastAsia="Calibri"/>
          <w:lang w:eastAsia="en-US"/>
        </w:rPr>
        <w:t>педических изделий Получателям.</w:t>
      </w:r>
    </w:p>
    <w:p w:rsidR="009B4BFD" w:rsidRPr="006C1574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b/>
          <w:color w:val="000000"/>
        </w:rPr>
        <w:t>Требования к техническим и функциональным характеристикам работ:</w:t>
      </w:r>
      <w:r w:rsidRPr="006C1574">
        <w:rPr>
          <w:color w:val="000000"/>
        </w:rPr>
        <w:t xml:space="preserve"> выполняемые работы по изготовлению протезов верхних конечностей для обеспечения инвалидов и льготных категорий, должны соответствовать ГОСТ </w:t>
      </w:r>
      <w:proofErr w:type="gramStart"/>
      <w:r w:rsidRPr="006C1574">
        <w:rPr>
          <w:color w:val="000000"/>
        </w:rPr>
        <w:t>Р</w:t>
      </w:r>
      <w:proofErr w:type="gramEnd"/>
      <w:r w:rsidRPr="006C1574">
        <w:rPr>
          <w:color w:val="000000"/>
        </w:rPr>
        <w:t xml:space="preserve"> 51819-2022 «Национальный стандарт Российской Федерации. Протезирование и </w:t>
      </w:r>
      <w:proofErr w:type="spellStart"/>
      <w:r w:rsidRPr="006C1574">
        <w:rPr>
          <w:color w:val="000000"/>
        </w:rPr>
        <w:t>ортезирование</w:t>
      </w:r>
      <w:proofErr w:type="spellEnd"/>
      <w:r w:rsidRPr="006C1574">
        <w:rPr>
          <w:color w:val="000000"/>
        </w:rPr>
        <w:t xml:space="preserve">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Р 56138-2021 «Протезы верхних конечностей. Технические требования», ГОСТ Р 52877-2021 «Национальный стандарт Российской Федерации. Услуги по медицинской реабилитации инвалидов. Основные положения».</w:t>
      </w:r>
    </w:p>
    <w:p w:rsidR="009B4BFD" w:rsidRPr="006C1574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Выполнение работ должно включать:</w:t>
      </w:r>
    </w:p>
    <w:p w:rsidR="009B4BFD" w:rsidRPr="006C1574" w:rsidRDefault="009B4BFD" w:rsidP="002D03B0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определение врачом-ортопедом показаний и временных противопоказаний к протезированию;</w:t>
      </w:r>
    </w:p>
    <w:p w:rsidR="009B4BFD" w:rsidRPr="006C1574" w:rsidRDefault="009B4BFD" w:rsidP="002D03B0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9B4BFD" w:rsidRPr="006C1574" w:rsidRDefault="009B4BFD" w:rsidP="002D03B0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9B4BFD" w:rsidRPr="006C1574" w:rsidRDefault="009B4BFD" w:rsidP="002D03B0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 </w:t>
      </w:r>
    </w:p>
    <w:p w:rsidR="009B4BFD" w:rsidRPr="006C1574" w:rsidRDefault="009B4BFD" w:rsidP="002D03B0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9B4BFD" w:rsidRPr="006C1574" w:rsidRDefault="009B4BFD" w:rsidP="002D03B0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DE021C" w:rsidRPr="006A59B7" w:rsidRDefault="009B4BFD" w:rsidP="006A59B7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9B4BFD" w:rsidRPr="006C1574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b/>
          <w:color w:val="000000"/>
        </w:rPr>
        <w:t>Требования к качеству поставляемых товаров: протезы должны соответствовать требованиям национальных стандартов Российской Федерации</w:t>
      </w:r>
      <w:r w:rsidRPr="006C1574">
        <w:rPr>
          <w:color w:val="000000"/>
        </w:rPr>
        <w:t>:</w:t>
      </w:r>
    </w:p>
    <w:p w:rsidR="009B4BFD" w:rsidRPr="006C1574" w:rsidRDefault="009B4BFD" w:rsidP="002D03B0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ГОСТ Р ИСО 9999-2019 «Вспомогательные средства для людей с ограничениями жизнедеятельности. Классификация и терминология»; </w:t>
      </w:r>
    </w:p>
    <w:p w:rsidR="009B4BFD" w:rsidRPr="006C1574" w:rsidRDefault="009B4BFD" w:rsidP="002D03B0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9B4BFD" w:rsidRPr="006C1574" w:rsidRDefault="009B4BFD" w:rsidP="002D03B0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ГОСТ Р 52114-2021 «Узлы механических протезов верхних конечностей. Технические требования и методы испытаний».</w:t>
      </w:r>
    </w:p>
    <w:p w:rsidR="009B4BFD" w:rsidRPr="006C1574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Внешний вид и форма протеза должны соответствовать внешнему виду и форме здоровой конечности.</w:t>
      </w:r>
    </w:p>
    <w:p w:rsidR="009B4BFD" w:rsidRPr="006C1574" w:rsidRDefault="009B4BFD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</w:t>
      </w:r>
      <w:r w:rsidRPr="006C1574">
        <w:rPr>
          <w:color w:val="000000"/>
        </w:rPr>
        <w:lastRenderedPageBreak/>
        <w:t>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BF605C" w:rsidRPr="006C1574" w:rsidRDefault="00BF605C" w:rsidP="002D03B0">
      <w:pPr>
        <w:ind w:left="426" w:right="-81" w:firstLine="567"/>
        <w:jc w:val="both"/>
        <w:rPr>
          <w:b/>
        </w:rPr>
      </w:pPr>
      <w:r w:rsidRPr="006C1574">
        <w:rPr>
          <w:b/>
        </w:rPr>
        <w:t>Требования к безопасности работ</w:t>
      </w:r>
    </w:p>
    <w:p w:rsidR="006C1574" w:rsidRPr="006C1574" w:rsidRDefault="006C1574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Требования к безопасности: материалы, применяемые при изготовлении и контактирующие с телом пациента, должны обладать </w:t>
      </w:r>
      <w:proofErr w:type="spellStart"/>
      <w:r w:rsidRPr="006C1574">
        <w:rPr>
          <w:color w:val="000000"/>
        </w:rPr>
        <w:t>биосовместимостью</w:t>
      </w:r>
      <w:proofErr w:type="spellEnd"/>
      <w:r w:rsidRPr="006C1574">
        <w:rPr>
          <w:color w:val="000000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6C1574" w:rsidRPr="006C1574" w:rsidRDefault="006C1574" w:rsidP="002D03B0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6C1574" w:rsidRPr="006C1574" w:rsidRDefault="006C1574" w:rsidP="002D03B0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C1574">
        <w:rPr>
          <w:color w:val="000000"/>
        </w:rPr>
        <w:t>цитотоксичность</w:t>
      </w:r>
      <w:proofErr w:type="spellEnd"/>
      <w:r w:rsidRPr="006C1574">
        <w:rPr>
          <w:color w:val="000000"/>
        </w:rPr>
        <w:t xml:space="preserve">: методы </w:t>
      </w:r>
      <w:proofErr w:type="spellStart"/>
      <w:r w:rsidRPr="006C1574">
        <w:rPr>
          <w:color w:val="000000"/>
        </w:rPr>
        <w:t>in</w:t>
      </w:r>
      <w:proofErr w:type="spellEnd"/>
      <w:r w:rsidRPr="006C1574">
        <w:rPr>
          <w:color w:val="000000"/>
        </w:rPr>
        <w:t xml:space="preserve"> </w:t>
      </w:r>
      <w:proofErr w:type="spellStart"/>
      <w:r w:rsidRPr="006C1574">
        <w:rPr>
          <w:color w:val="000000"/>
        </w:rPr>
        <w:t>vitro</w:t>
      </w:r>
      <w:proofErr w:type="spellEnd"/>
      <w:r w:rsidRPr="006C1574">
        <w:rPr>
          <w:color w:val="000000"/>
        </w:rPr>
        <w:t xml:space="preserve">»; </w:t>
      </w:r>
    </w:p>
    <w:p w:rsidR="006C1574" w:rsidRPr="006C1574" w:rsidRDefault="006C1574" w:rsidP="002D03B0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BF605C" w:rsidRPr="008C72A9" w:rsidRDefault="006C1574" w:rsidP="008C72A9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177ACD" w:rsidRPr="006C1574" w:rsidRDefault="00177ACD" w:rsidP="002D03B0">
      <w:pPr>
        <w:pStyle w:val="a5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  <w:r w:rsidRPr="006C1574">
        <w:rPr>
          <w:rFonts w:ascii="Times New Roman" w:hAnsi="Times New Roman"/>
          <w:b/>
          <w:sz w:val="24"/>
          <w:szCs w:val="24"/>
        </w:rPr>
        <w:t>Требования к результатам работы:</w:t>
      </w:r>
    </w:p>
    <w:p w:rsidR="006C1574" w:rsidRPr="006C1574" w:rsidRDefault="006C1574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 xml:space="preserve">Требования к результатам работ: 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</w:t>
      </w:r>
    </w:p>
    <w:p w:rsidR="00812BBA" w:rsidRPr="008C72A9" w:rsidRDefault="006C1574" w:rsidP="008C72A9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6C1574" w:rsidRPr="006C1574" w:rsidRDefault="006C1574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72CB">
        <w:rPr>
          <w:b/>
          <w:color w:val="000000"/>
        </w:rPr>
        <w:t>Требования к срокам и (или) объему предоставления гарантии качества работ:</w:t>
      </w:r>
      <w:r w:rsidRPr="006C1574">
        <w:rPr>
          <w:color w:val="000000"/>
        </w:rPr>
        <w:t xml:space="preserve"> гарантийный срок на протезы верхних конечностей устанавливается со дня выдачи готового изделия в эксплуатацию и составляет: </w:t>
      </w:r>
    </w:p>
    <w:p w:rsidR="006C1574" w:rsidRPr="006C1574" w:rsidRDefault="006C1574" w:rsidP="006A59B7">
      <w:pPr>
        <w:numPr>
          <w:ilvl w:val="0"/>
          <w:numId w:val="12"/>
        </w:numPr>
        <w:autoSpaceDE w:val="0"/>
        <w:autoSpaceDN w:val="0"/>
        <w:adjustRightInd w:val="0"/>
        <w:ind w:left="426" w:firstLine="567"/>
        <w:contextualSpacing/>
        <w:jc w:val="both"/>
        <w:rPr>
          <w:color w:val="000000"/>
        </w:rPr>
      </w:pPr>
      <w:r w:rsidRPr="006C1574">
        <w:rPr>
          <w:color w:val="000000"/>
        </w:rPr>
        <w:t>изготовление протеза (кроме протеза кисти косметического) – не менее года;</w:t>
      </w:r>
    </w:p>
    <w:p w:rsidR="006C1574" w:rsidRPr="006C1574" w:rsidRDefault="006C1574" w:rsidP="006A59B7">
      <w:pPr>
        <w:numPr>
          <w:ilvl w:val="0"/>
          <w:numId w:val="12"/>
        </w:numPr>
        <w:autoSpaceDE w:val="0"/>
        <w:autoSpaceDN w:val="0"/>
        <w:adjustRightInd w:val="0"/>
        <w:ind w:left="426" w:firstLine="567"/>
        <w:contextualSpacing/>
        <w:jc w:val="both"/>
        <w:rPr>
          <w:color w:val="000000"/>
        </w:rPr>
      </w:pPr>
      <w:r w:rsidRPr="006C1574">
        <w:rPr>
          <w:color w:val="000000"/>
        </w:rPr>
        <w:t>изготовление протеза кисти косметического – не менее 3-х месяцев;</w:t>
      </w:r>
    </w:p>
    <w:p w:rsidR="006C1574" w:rsidRPr="006C1574" w:rsidRDefault="006C1574" w:rsidP="006A59B7">
      <w:pPr>
        <w:numPr>
          <w:ilvl w:val="0"/>
          <w:numId w:val="12"/>
        </w:numPr>
        <w:autoSpaceDE w:val="0"/>
        <w:autoSpaceDN w:val="0"/>
        <w:adjustRightInd w:val="0"/>
        <w:ind w:left="426" w:firstLine="567"/>
        <w:contextualSpacing/>
        <w:jc w:val="both"/>
        <w:rPr>
          <w:color w:val="000000"/>
        </w:rPr>
      </w:pPr>
      <w:r w:rsidRPr="006C1574">
        <w:rPr>
          <w:color w:val="000000"/>
        </w:rPr>
        <w:t>замена приемной гильзы протеза – не менее 4-х месяцев;</w:t>
      </w:r>
    </w:p>
    <w:p w:rsidR="006C1574" w:rsidRPr="006C1574" w:rsidRDefault="006C1574" w:rsidP="006A59B7">
      <w:pPr>
        <w:numPr>
          <w:ilvl w:val="0"/>
          <w:numId w:val="12"/>
        </w:numPr>
        <w:autoSpaceDE w:val="0"/>
        <w:autoSpaceDN w:val="0"/>
        <w:adjustRightInd w:val="0"/>
        <w:ind w:left="426" w:firstLine="567"/>
        <w:contextualSpacing/>
        <w:jc w:val="both"/>
        <w:rPr>
          <w:color w:val="000000"/>
        </w:rPr>
      </w:pPr>
      <w:r w:rsidRPr="006C1574">
        <w:rPr>
          <w:color w:val="000000"/>
        </w:rPr>
        <w:t>замена силиконового чехла – не менее 6-ти месяцев;</w:t>
      </w:r>
    </w:p>
    <w:p w:rsidR="006C1574" w:rsidRPr="006C1574" w:rsidRDefault="006C1574" w:rsidP="006A59B7">
      <w:pPr>
        <w:numPr>
          <w:ilvl w:val="0"/>
          <w:numId w:val="12"/>
        </w:numPr>
        <w:autoSpaceDE w:val="0"/>
        <w:autoSpaceDN w:val="0"/>
        <w:adjustRightInd w:val="0"/>
        <w:ind w:left="426" w:firstLine="567"/>
        <w:contextualSpacing/>
        <w:jc w:val="both"/>
        <w:rPr>
          <w:color w:val="000000"/>
        </w:rPr>
      </w:pPr>
      <w:r w:rsidRPr="006C1574">
        <w:rPr>
          <w:color w:val="000000"/>
        </w:rPr>
        <w:t>замена косметической оболочки – не менее 3-х месяцев.</w:t>
      </w:r>
    </w:p>
    <w:p w:rsidR="00BF605C" w:rsidRPr="006C1574" w:rsidRDefault="00BF605C" w:rsidP="002D03B0">
      <w:pPr>
        <w:ind w:left="426" w:right="-81" w:firstLine="567"/>
        <w:jc w:val="both"/>
        <w:rPr>
          <w:b/>
        </w:rPr>
      </w:pPr>
      <w:r w:rsidRPr="006C1574">
        <w:rPr>
          <w:b/>
        </w:rPr>
        <w:t>Требования к маркировке, упаковке, транспортированию и хранению</w:t>
      </w:r>
    </w:p>
    <w:p w:rsidR="00BF605C" w:rsidRPr="006C1574" w:rsidRDefault="00BF605C" w:rsidP="002D03B0">
      <w:pPr>
        <w:ind w:left="426" w:right="-81" w:firstLine="567"/>
        <w:jc w:val="both"/>
      </w:pPr>
      <w:r w:rsidRPr="006C1574">
        <w:t xml:space="preserve">Маркировка, упаковка и хранение протезов должны осуществляться с соблюдением требований ГОСТ Р ИСО 22523-2007 «Протезы конечностей и </w:t>
      </w:r>
      <w:proofErr w:type="spellStart"/>
      <w:r w:rsidRPr="006C1574">
        <w:t>ортезы</w:t>
      </w:r>
      <w:proofErr w:type="spellEnd"/>
      <w:r w:rsidRPr="006C1574">
        <w:t xml:space="preserve"> наружные. Требования и методы испытаний» (раздел 13.2 «Маркировка», раздел 14 «Упаковка»). </w:t>
      </w:r>
    </w:p>
    <w:p w:rsidR="006C1574" w:rsidRPr="006C1574" w:rsidRDefault="006C1574" w:rsidP="002D03B0">
      <w:p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C1574">
        <w:rPr>
          <w:color w:val="000000"/>
        </w:rPr>
        <w:t>При необходимости отправка протезов к месту нахождения инвалидов должна осуществляться с соблюдением требований ГОСТ Р 50444-2020 «Национальный стандарт Российской Федерации. Приборы, аппараты и оборудование медицинские. Общие технические требования»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BF605C" w:rsidRPr="006C1574" w:rsidRDefault="006C1574" w:rsidP="002D03B0">
      <w:pPr>
        <w:ind w:left="426" w:right="-81" w:firstLine="567"/>
        <w:jc w:val="both"/>
      </w:pPr>
      <w:r w:rsidRPr="006C1574">
        <w:t xml:space="preserve"> </w:t>
      </w:r>
    </w:p>
    <w:p w:rsidR="009B0BF0" w:rsidRPr="006C1574" w:rsidRDefault="009B0BF0" w:rsidP="002D03B0">
      <w:pPr>
        <w:keepNext/>
        <w:ind w:left="426" w:firstLine="567"/>
        <w:jc w:val="center"/>
        <w:rPr>
          <w:b/>
        </w:rPr>
      </w:pPr>
    </w:p>
    <w:sectPr w:rsidR="009B0BF0" w:rsidRPr="006C1574" w:rsidSect="008C72A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4513"/>
    <w:rsid w:val="002638B6"/>
    <w:rsid w:val="002750A5"/>
    <w:rsid w:val="002B11CD"/>
    <w:rsid w:val="002D03B0"/>
    <w:rsid w:val="00311141"/>
    <w:rsid w:val="003347C1"/>
    <w:rsid w:val="003673B7"/>
    <w:rsid w:val="00371F99"/>
    <w:rsid w:val="00381214"/>
    <w:rsid w:val="004222D0"/>
    <w:rsid w:val="00455A41"/>
    <w:rsid w:val="004952E9"/>
    <w:rsid w:val="004F47D3"/>
    <w:rsid w:val="00537A76"/>
    <w:rsid w:val="00544F2A"/>
    <w:rsid w:val="005456DC"/>
    <w:rsid w:val="0057764D"/>
    <w:rsid w:val="005A7787"/>
    <w:rsid w:val="00601C06"/>
    <w:rsid w:val="0063049D"/>
    <w:rsid w:val="0067545D"/>
    <w:rsid w:val="00682CFA"/>
    <w:rsid w:val="006A59B7"/>
    <w:rsid w:val="006C1574"/>
    <w:rsid w:val="006C72CB"/>
    <w:rsid w:val="006F3693"/>
    <w:rsid w:val="007121D1"/>
    <w:rsid w:val="00723A76"/>
    <w:rsid w:val="007422C3"/>
    <w:rsid w:val="00790C3E"/>
    <w:rsid w:val="007D2850"/>
    <w:rsid w:val="007E3BBC"/>
    <w:rsid w:val="00812BBA"/>
    <w:rsid w:val="00815E52"/>
    <w:rsid w:val="008668ED"/>
    <w:rsid w:val="00884AF1"/>
    <w:rsid w:val="008C3515"/>
    <w:rsid w:val="008C72A9"/>
    <w:rsid w:val="00911ED0"/>
    <w:rsid w:val="0093118A"/>
    <w:rsid w:val="00973737"/>
    <w:rsid w:val="0098447F"/>
    <w:rsid w:val="009A40F6"/>
    <w:rsid w:val="009B0BF0"/>
    <w:rsid w:val="009B4BFD"/>
    <w:rsid w:val="009F30F9"/>
    <w:rsid w:val="00A0309F"/>
    <w:rsid w:val="00A60D7E"/>
    <w:rsid w:val="00A85E7E"/>
    <w:rsid w:val="00A917D4"/>
    <w:rsid w:val="00AA5538"/>
    <w:rsid w:val="00B1521D"/>
    <w:rsid w:val="00B2198E"/>
    <w:rsid w:val="00B23A41"/>
    <w:rsid w:val="00B30D09"/>
    <w:rsid w:val="00B629C6"/>
    <w:rsid w:val="00BB5F46"/>
    <w:rsid w:val="00BD7A7E"/>
    <w:rsid w:val="00BF605C"/>
    <w:rsid w:val="00C73055"/>
    <w:rsid w:val="00C83F92"/>
    <w:rsid w:val="00D83248"/>
    <w:rsid w:val="00DA10A7"/>
    <w:rsid w:val="00DE021C"/>
    <w:rsid w:val="00DF0520"/>
    <w:rsid w:val="00DF76E9"/>
    <w:rsid w:val="00E017AF"/>
    <w:rsid w:val="00E12B1F"/>
    <w:rsid w:val="00E26237"/>
    <w:rsid w:val="00EA6563"/>
    <w:rsid w:val="00ED5E12"/>
    <w:rsid w:val="00F20C2E"/>
    <w:rsid w:val="00F623E7"/>
    <w:rsid w:val="00F66C19"/>
    <w:rsid w:val="00F67A9E"/>
    <w:rsid w:val="00F862A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12</cp:revision>
  <cp:lastPrinted>2023-08-03T05:28:00Z</cp:lastPrinted>
  <dcterms:created xsi:type="dcterms:W3CDTF">2023-10-19T11:25:00Z</dcterms:created>
  <dcterms:modified xsi:type="dcterms:W3CDTF">2023-11-10T10:37:00Z</dcterms:modified>
</cp:coreProperties>
</file>