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8"/>
        </w:numPr>
        <w:tabs>
          <w:tab w:val="left" w:pos="567"/>
        </w:tabs>
        <w:jc w:val="right"/>
        <w:rPr>
          <w:rFonts w:eastAsia="Times New Roman" w:cs="Times New Roman"/>
          <w:i/>
          <w:szCs w:val="24"/>
        </w:rPr>
      </w:pPr>
      <w:r>
        <w:rPr>
          <w:rFonts w:eastAsia="Times New Roman" w:cs="Times New Roman"/>
          <w:i/>
          <w:szCs w:val="24"/>
        </w:rPr>
        <w:t xml:space="preserve">Приложение № </w:t>
      </w:r>
      <w:r>
        <w:rPr>
          <w:rFonts w:eastAsia="Times New Roman" w:cs="Times New Roman"/>
          <w:i/>
          <w:szCs w:val="24"/>
        </w:rPr>
        <w:t>1</w:t>
      </w:r>
      <w:r>
        <w:rPr>
          <w:rFonts w:eastAsia="Times New Roman" w:cs="Times New Roman"/>
          <w:i/>
          <w:szCs w:val="24"/>
        </w:rPr>
        <w:t xml:space="preserve"> </w:t>
      </w:r>
    </w:p>
    <w:p>
      <w:pPr>
        <w:suppressAutoHyphens/>
        <w:snapToGrid w:val="0"/>
        <w:ind w:right="27"/>
        <w:jc w:val="right"/>
        <w:rPr>
          <w:rFonts w:eastAsia="Arial Unicode MS" w:cs="Times New Roman"/>
          <w:b/>
          <w:szCs w:val="24"/>
          <w:lang w:eastAsia="ar-SA"/>
        </w:rPr>
      </w:pPr>
      <w:r>
        <w:rPr>
          <w:rFonts w:eastAsia="Times New Roman" w:cs="Times New Roman"/>
          <w:i/>
          <w:szCs w:val="24"/>
        </w:rPr>
        <w:t>к извещению о проведении закупки</w:t>
      </w:r>
      <w:r>
        <w:rPr>
          <w:rFonts w:eastAsia="Arial Unicode MS" w:cs="Times New Roman"/>
          <w:b/>
          <w:szCs w:val="24"/>
          <w:lang w:eastAsia="ar-SA"/>
        </w:rPr>
        <w:t xml:space="preserve"> </w:t>
      </w:r>
    </w:p>
    <w:p>
      <w:pPr>
        <w:suppressAutoHyphens/>
        <w:snapToGrid w:val="0"/>
        <w:ind w:right="27"/>
        <w:jc w:val="right"/>
        <w:rPr>
          <w:rFonts w:eastAsia="Arial Unicode MS" w:cs="Times New Roman"/>
          <w:b/>
          <w:szCs w:val="24"/>
          <w:lang w:eastAsia="ar-SA"/>
        </w:rPr>
      </w:pPr>
      <w:bookmarkStart w:id="0" w:name="_GoBack"/>
      <w:bookmarkEnd w:id="0"/>
    </w:p>
    <w:p>
      <w:pPr>
        <w:suppressAutoHyphens/>
        <w:snapToGrid w:val="0"/>
        <w:ind w:right="-853"/>
        <w:jc w:val="center"/>
        <w:rPr>
          <w:rFonts w:eastAsia="Arial Unicode MS" w:cs="Times New Roman"/>
          <w:b/>
          <w:szCs w:val="24"/>
          <w:lang w:eastAsia="ar-SA"/>
        </w:rPr>
      </w:pPr>
      <w:r>
        <w:rPr>
          <w:rFonts w:eastAsia="Arial Unicode MS" w:cs="Times New Roman"/>
          <w:b/>
          <w:szCs w:val="24"/>
          <w:lang w:eastAsia="ar-SA"/>
        </w:rPr>
        <w:t>Описание объекта закупки (техническое задание)</w:t>
      </w:r>
    </w:p>
    <w:p>
      <w:pPr>
        <w:widowControl w:val="0"/>
        <w:ind w:right="-24"/>
        <w:jc w:val="center"/>
        <w:rPr>
          <w:rFonts w:eastAsia="Calibri" w:cs="Times New Roman"/>
          <w:b/>
          <w:szCs w:val="24"/>
        </w:rPr>
      </w:pPr>
      <w:r>
        <w:rPr>
          <w:rFonts w:eastAsia="Calibri" w:cs="Times New Roman"/>
          <w:b/>
          <w:szCs w:val="24"/>
        </w:rPr>
        <w:t xml:space="preserve">на выполнение работ по изготовлению </w:t>
      </w:r>
      <w:r>
        <w:rPr>
          <w:rFonts w:eastAsia="Times New Roman" w:cs="Tahoma"/>
          <w:b/>
          <w:szCs w:val="24"/>
          <w:lang w:eastAsia="zh-CN" w:bidi="hi-IN"/>
        </w:rPr>
        <w:t xml:space="preserve">протезов </w:t>
      </w:r>
      <w:r>
        <w:rPr>
          <w:rFonts w:eastAsia="Times New Roman" w:cs="Times New Roman"/>
          <w:b/>
          <w:color w:val="000000"/>
          <w:szCs w:val="24"/>
        </w:rPr>
        <w:t>голени</w:t>
      </w:r>
      <w:r>
        <w:rPr>
          <w:rFonts w:eastAsia="Times New Roman" w:cs="Times New Roman"/>
          <w:b/>
          <w:bCs/>
          <w:szCs w:val="24"/>
        </w:rPr>
        <w:t xml:space="preserve"> для социального обеспечения граждан </w:t>
      </w:r>
      <w:r>
        <w:rPr>
          <w:rFonts w:eastAsia="Times New Roman" w:cs="Tahoma"/>
          <w:b/>
          <w:szCs w:val="24"/>
          <w:lang w:eastAsia="zh-CN" w:bidi="hi-IN"/>
        </w:rPr>
        <w:t>в 2024 году</w:t>
      </w:r>
    </w:p>
    <w:p>
      <w:pPr>
        <w:widowControl w:val="0"/>
        <w:ind w:right="-24"/>
        <w:jc w:val="center"/>
        <w:rPr>
          <w:rFonts w:eastAsia="Calibri" w:cs="Times New Roman"/>
          <w:b/>
          <w:szCs w:val="24"/>
        </w:rPr>
      </w:pPr>
    </w:p>
    <w:p>
      <w:pPr>
        <w:ind w:right="-24"/>
        <w:jc w:val="both"/>
        <w:rPr>
          <w:rFonts w:eastAsia="Calibri" w:cs="Times New Roman"/>
          <w:szCs w:val="24"/>
        </w:rPr>
      </w:pPr>
      <w:r>
        <w:rPr>
          <w:rFonts w:eastAsia="Calibri" w:cs="Times New Roman"/>
          <w:b/>
          <w:szCs w:val="24"/>
        </w:rPr>
        <w:t>Срок выполнения работ:</w:t>
      </w:r>
      <w:r>
        <w:rPr>
          <w:rFonts w:eastAsia="Calibri" w:cs="Times New Roman"/>
          <w:szCs w:val="24"/>
        </w:rPr>
        <w:t xml:space="preserve"> </w:t>
      </w:r>
      <w:r>
        <w:rPr>
          <w:rFonts w:ascii="Times New Roman CYR" w:eastAsia="Times New Roman" w:hAnsi="Times New Roman CYR" w:cs="Times New Roman CYR"/>
          <w:szCs w:val="24"/>
        </w:rPr>
        <w:t>со дня, следующего за днем заключения государственного контракта</w:t>
      </w:r>
      <w:r>
        <w:rPr>
          <w:rFonts w:eastAsia="Times New Roman" w:cs="Times New Roman"/>
          <w:szCs w:val="24"/>
        </w:rPr>
        <w:t xml:space="preserve">, </w:t>
      </w:r>
      <w:r>
        <w:rPr>
          <w:rFonts w:eastAsia="Calibri" w:cs="Times New Roman"/>
          <w:szCs w:val="24"/>
        </w:rPr>
        <w:t>до «30»</w:t>
      </w:r>
      <w:r>
        <w:rPr>
          <w:rFonts w:eastAsia="Times New Roman" w:cs="Times New Roman"/>
          <w:szCs w:val="24"/>
        </w:rPr>
        <w:t xml:space="preserve"> сентября 2024 года (включительно).</w:t>
      </w:r>
    </w:p>
    <w:p>
      <w:pPr>
        <w:spacing w:before="120"/>
        <w:ind w:right="-23"/>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«30»</w:t>
      </w:r>
      <w:r>
        <w:rPr>
          <w:rFonts w:eastAsia="Times New Roman" w:cs="Times New Roman"/>
          <w:szCs w:val="24"/>
        </w:rPr>
        <w:t xml:space="preserve"> сентября 2024 года (включительно).</w:t>
      </w:r>
    </w:p>
    <w:p>
      <w:pPr>
        <w:spacing w:before="120"/>
        <w:ind w:right="-23"/>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spacing w:before="120"/>
        <w:ind w:right="-23"/>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w:t>
      </w:r>
    </w:p>
    <w:p>
      <w:pPr>
        <w:spacing w:before="120"/>
        <w:jc w:val="both"/>
        <w:rPr>
          <w:rFonts w:eastAsia="Calibri" w:cs="Times New Roman"/>
          <w:szCs w:val="24"/>
          <w:lang w:eastAsia="en-US"/>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autoSpaceDE w:val="0"/>
        <w:autoSpaceDN w:val="0"/>
        <w:adjustRightInd w:val="0"/>
        <w:jc w:val="both"/>
        <w:rPr>
          <w:rFonts w:eastAsia="Times New Roman" w:cs="Times New Roman"/>
          <w:szCs w:val="24"/>
        </w:rPr>
      </w:pPr>
      <w:r>
        <w:rPr>
          <w:rFonts w:eastAsia="Calibri" w:cs="Times New Roman"/>
          <w:szCs w:val="24"/>
          <w:lang w:eastAsia="en-US"/>
        </w:rPr>
        <w:t xml:space="preserve">2. </w:t>
      </w:r>
      <w:r>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pPr>
        <w:numPr>
          <w:ilvl w:val="0"/>
          <w:numId w:val="4"/>
        </w:numPr>
        <w:tabs>
          <w:tab w:val="left" w:pos="284"/>
        </w:tabs>
        <w:spacing w:after="200" w:line="276" w:lineRule="auto"/>
        <w:ind w:right="-284"/>
        <w:contextualSpacing/>
        <w:rPr>
          <w:rFonts w:eastAsia="Times New Roman" w:cs="Times New Roman"/>
          <w:szCs w:val="24"/>
        </w:rPr>
      </w:pPr>
      <w:r>
        <w:rPr>
          <w:rFonts w:eastAsia="Times New Roman" w:cs="Times New Roman"/>
          <w:szCs w:val="24"/>
        </w:rPr>
        <w:t>Характеристики объекта закупки.</w:t>
      </w:r>
    </w:p>
    <w:p>
      <w:pPr>
        <w:numPr>
          <w:ilvl w:val="1"/>
          <w:numId w:val="4"/>
        </w:numPr>
        <w:tabs>
          <w:tab w:val="left" w:pos="0"/>
        </w:tabs>
        <w:spacing w:after="200" w:line="276" w:lineRule="auto"/>
        <w:ind w:right="-284"/>
        <w:contextualSpacing/>
        <w:rPr>
          <w:rFonts w:eastAsia="Times New Roman" w:cs="Times New Roman"/>
          <w:szCs w:val="24"/>
        </w:rPr>
      </w:pPr>
      <w:r>
        <w:rPr>
          <w:rFonts w:eastAsia="Times New Roman" w:cs="Times New Roman"/>
          <w:szCs w:val="24"/>
        </w:rPr>
        <w:t>Функциональные и технические характеристики объекта закупки:</w:t>
      </w:r>
    </w:p>
    <w:tbl>
      <w:tblPr>
        <w:tblW w:w="1014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701"/>
        <w:gridCol w:w="5103"/>
        <w:gridCol w:w="1418"/>
        <w:gridCol w:w="1276"/>
      </w:tblGrid>
      <w:tr>
        <w:trPr>
          <w:trHeight w:val="743"/>
        </w:trPr>
        <w:tc>
          <w:tcPr>
            <w:tcW w:w="649" w:type="dxa"/>
            <w:shd w:val="clear" w:color="auto" w:fill="auto"/>
          </w:tcPr>
          <w:p>
            <w:pPr>
              <w:rPr>
                <w:rFonts w:eastAsia="Times New Roman" w:cs="Times New Roman"/>
                <w:szCs w:val="24"/>
              </w:rPr>
            </w:pPr>
            <w:r>
              <w:rPr>
                <w:rFonts w:eastAsia="Times New Roman" w:cs="Times New Roman"/>
                <w:szCs w:val="24"/>
              </w:rPr>
              <w:t>№</w:t>
            </w:r>
          </w:p>
          <w:p>
            <w:pPr>
              <w:rPr>
                <w:rFonts w:eastAsia="Times New Roman" w:cs="Times New Roman"/>
                <w:szCs w:val="24"/>
              </w:rPr>
            </w:pPr>
            <w:r>
              <w:rPr>
                <w:rFonts w:eastAsia="Times New Roman" w:cs="Times New Roman"/>
                <w:szCs w:val="24"/>
              </w:rPr>
              <w:t>п/п</w:t>
            </w:r>
          </w:p>
        </w:tc>
        <w:tc>
          <w:tcPr>
            <w:tcW w:w="1701" w:type="dxa"/>
          </w:tcPr>
          <w:p>
            <w:pPr>
              <w:rPr>
                <w:rFonts w:eastAsia="Times New Roman" w:cs="Times New Roman"/>
                <w:szCs w:val="24"/>
              </w:rPr>
            </w:pPr>
            <w:r>
              <w:rPr>
                <w:rFonts w:eastAsia="Times New Roman" w:cs="Times New Roman"/>
                <w:szCs w:val="24"/>
              </w:rPr>
              <w:t xml:space="preserve">Наименование Изделия </w:t>
            </w:r>
          </w:p>
        </w:tc>
        <w:tc>
          <w:tcPr>
            <w:tcW w:w="5103" w:type="dxa"/>
            <w:shd w:val="clear" w:color="auto" w:fill="auto"/>
          </w:tcPr>
          <w:p>
            <w:pPr>
              <w:jc w:val="center"/>
              <w:rPr>
                <w:rFonts w:eastAsia="Times New Roman" w:cs="Times New Roman"/>
                <w:szCs w:val="24"/>
              </w:rPr>
            </w:pPr>
            <w:r>
              <w:rPr>
                <w:rFonts w:eastAsia="Times New Roman" w:cs="Times New Roman"/>
                <w:szCs w:val="24"/>
              </w:rPr>
              <w:t>Характеристика Изделия</w:t>
            </w:r>
          </w:p>
        </w:tc>
        <w:tc>
          <w:tcPr>
            <w:tcW w:w="1418" w:type="dxa"/>
          </w:tcPr>
          <w:p>
            <w:pPr>
              <w:jc w:val="center"/>
              <w:rPr>
                <w:rFonts w:eastAsia="Times New Roman" w:cs="Times New Roman"/>
                <w:szCs w:val="24"/>
              </w:rPr>
            </w:pPr>
            <w:r>
              <w:rPr>
                <w:rFonts w:eastAsia="Times New Roman" w:cs="Times New Roman"/>
                <w:szCs w:val="24"/>
              </w:rPr>
              <w:t>Значение характеристики</w:t>
            </w:r>
          </w:p>
        </w:tc>
        <w:tc>
          <w:tcPr>
            <w:tcW w:w="1276" w:type="dxa"/>
            <w:shd w:val="clear" w:color="auto" w:fill="auto"/>
          </w:tcPr>
          <w:p>
            <w:pPr>
              <w:jc w:val="center"/>
              <w:rPr>
                <w:rFonts w:eastAsia="Times New Roman" w:cs="Times New Roman"/>
                <w:szCs w:val="24"/>
              </w:rPr>
            </w:pPr>
            <w:r>
              <w:rPr>
                <w:rFonts w:eastAsia="Times New Roman" w:cs="Times New Roman"/>
                <w:szCs w:val="24"/>
              </w:rPr>
              <w:t xml:space="preserve">Объем, </w:t>
            </w:r>
          </w:p>
          <w:p>
            <w:pPr>
              <w:jc w:val="center"/>
              <w:rPr>
                <w:rFonts w:eastAsia="Times New Roman" w:cs="Times New Roman"/>
                <w:szCs w:val="24"/>
              </w:rPr>
            </w:pPr>
            <w:r>
              <w:rPr>
                <w:rFonts w:eastAsia="Times New Roman" w:cs="Times New Roman"/>
                <w:szCs w:val="24"/>
              </w:rPr>
              <w:t>(шт.)</w:t>
            </w:r>
          </w:p>
        </w:tc>
      </w:tr>
      <w:tr>
        <w:trPr>
          <w:trHeight w:val="1544"/>
        </w:trPr>
        <w:tc>
          <w:tcPr>
            <w:tcW w:w="649" w:type="dxa"/>
            <w:shd w:val="clear" w:color="auto" w:fill="auto"/>
          </w:tcPr>
          <w:p>
            <w:pPr>
              <w:rPr>
                <w:rFonts w:eastAsia="Times New Roman" w:cs="Times New Roman"/>
                <w:szCs w:val="24"/>
              </w:rPr>
            </w:pPr>
            <w:r>
              <w:rPr>
                <w:rFonts w:eastAsia="Times New Roman" w:cs="Times New Roman"/>
                <w:szCs w:val="24"/>
              </w:rPr>
              <w:t>1</w:t>
            </w:r>
          </w:p>
        </w:tc>
        <w:tc>
          <w:tcPr>
            <w:tcW w:w="1701" w:type="dxa"/>
          </w:tcPr>
          <w:p>
            <w:pPr>
              <w:spacing w:line="259" w:lineRule="auto"/>
              <w:rPr>
                <w:rFonts w:eastAsia="Times New Roman" w:cs="Times New Roman"/>
                <w:szCs w:val="24"/>
              </w:rPr>
            </w:pPr>
            <w:r>
              <w:rPr>
                <w:rFonts w:eastAsia="Times New Roman" w:cs="Times New Roman"/>
                <w:szCs w:val="24"/>
              </w:rPr>
              <w:t>Протез голени модульный, в том числе при недоразвитии</w:t>
            </w:r>
          </w:p>
        </w:tc>
        <w:tc>
          <w:tcPr>
            <w:tcW w:w="5103" w:type="dxa"/>
            <w:shd w:val="clear" w:color="auto" w:fill="auto"/>
          </w:tcPr>
          <w:p>
            <w:pPr>
              <w:spacing w:after="230" w:line="238" w:lineRule="auto"/>
              <w:jc w:val="both"/>
              <w:rPr>
                <w:rFonts w:eastAsia="Times New Roman" w:cs="Times New Roman"/>
                <w:szCs w:val="24"/>
              </w:rPr>
            </w:pPr>
            <w:r>
              <w:rPr>
                <w:rFonts w:eastAsia="Times New Roman" w:cs="Times New Roman"/>
                <w:szCs w:val="24"/>
              </w:rPr>
              <w:t xml:space="preserve">Протез для пользователя с </w:t>
            </w:r>
            <w:proofErr w:type="spellStart"/>
            <w:r>
              <w:rPr>
                <w:rFonts w:eastAsia="Times New Roman" w:cs="Times New Roman"/>
                <w:szCs w:val="24"/>
              </w:rPr>
              <w:t>малофункциональной</w:t>
            </w:r>
            <w:proofErr w:type="spellEnd"/>
            <w:r>
              <w:rPr>
                <w:rFonts w:eastAsia="Times New Roman" w:cs="Times New Roman"/>
                <w:szCs w:val="24"/>
              </w:rPr>
              <w:t xml:space="preserve"> культей с уровнем активности 2-3 и ампутацией средней трети голени (первичное протезирование). Приемная гильза, вкладная гильза из силикона, стопа шарнирная с регулировочно-соединительным устройством, крепление в виде замка полимерного, чехла и бандажа наколенника, мягкая облицовка.</w:t>
            </w:r>
          </w:p>
        </w:tc>
        <w:tc>
          <w:tcPr>
            <w:tcW w:w="1418" w:type="dxa"/>
          </w:tcPr>
          <w:p>
            <w:pPr>
              <w:jc w:val="center"/>
              <w:rPr>
                <w:rFonts w:eastAsia="Times New Roman" w:cs="Times New Roman"/>
                <w:szCs w:val="24"/>
              </w:rPr>
            </w:pPr>
            <w:r>
              <w:rPr>
                <w:rFonts w:eastAsia="Times New Roman"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1</w:t>
            </w:r>
          </w:p>
        </w:tc>
      </w:tr>
      <w:tr>
        <w:trPr>
          <w:trHeight w:val="428"/>
        </w:trPr>
        <w:tc>
          <w:tcPr>
            <w:tcW w:w="649" w:type="dxa"/>
            <w:shd w:val="clear" w:color="auto" w:fill="auto"/>
          </w:tcPr>
          <w:p>
            <w:pPr>
              <w:rPr>
                <w:rFonts w:eastAsia="Times New Roman" w:cs="Times New Roman"/>
                <w:szCs w:val="24"/>
              </w:rPr>
            </w:pPr>
            <w:r>
              <w:rPr>
                <w:rFonts w:eastAsia="Times New Roman" w:cs="Times New Roman"/>
                <w:szCs w:val="24"/>
              </w:rPr>
              <w:t>2</w:t>
            </w:r>
          </w:p>
        </w:tc>
        <w:tc>
          <w:tcPr>
            <w:tcW w:w="1701" w:type="dxa"/>
          </w:tcPr>
          <w:p>
            <w:pPr>
              <w:spacing w:line="259" w:lineRule="auto"/>
              <w:rPr>
                <w:rFonts w:eastAsia="Times New Roman" w:cs="Times New Roman"/>
                <w:szCs w:val="24"/>
              </w:rPr>
            </w:pPr>
            <w:r>
              <w:rPr>
                <w:rFonts w:eastAsia="Times New Roman" w:cs="Times New Roman"/>
                <w:szCs w:val="24"/>
              </w:rPr>
              <w:t>Протез голени для купания</w:t>
            </w:r>
          </w:p>
        </w:tc>
        <w:tc>
          <w:tcPr>
            <w:tcW w:w="5103" w:type="dxa"/>
            <w:shd w:val="clear" w:color="auto" w:fill="auto"/>
          </w:tcPr>
          <w:p>
            <w:pPr>
              <w:spacing w:after="230" w:line="238" w:lineRule="auto"/>
              <w:jc w:val="both"/>
              <w:rPr>
                <w:rFonts w:eastAsia="Times New Roman" w:cs="Times New Roman"/>
                <w:szCs w:val="24"/>
              </w:rPr>
            </w:pPr>
            <w:r>
              <w:rPr>
                <w:rFonts w:eastAsia="Times New Roman" w:cs="Times New Roman"/>
                <w:color w:val="000000"/>
                <w:szCs w:val="24"/>
              </w:rPr>
              <w:t xml:space="preserve">Протез для пользователя с </w:t>
            </w:r>
            <w:proofErr w:type="spellStart"/>
            <w:r>
              <w:rPr>
                <w:rFonts w:eastAsia="Times New Roman" w:cs="Times New Roman"/>
                <w:color w:val="000000"/>
                <w:szCs w:val="24"/>
              </w:rPr>
              <w:t>малофункциональной</w:t>
            </w:r>
            <w:proofErr w:type="spellEnd"/>
            <w:r>
              <w:rPr>
                <w:rFonts w:eastAsia="Times New Roman" w:cs="Times New Roman"/>
                <w:color w:val="000000"/>
                <w:szCs w:val="24"/>
              </w:rPr>
              <w:t xml:space="preserve"> культей с уровнем активности 2-3 и ампутацией средней трети голени (первичное протезирование). </w:t>
            </w:r>
            <w:r>
              <w:rPr>
                <w:rFonts w:eastAsia="Times New Roman" w:cs="Times New Roman"/>
                <w:szCs w:val="24"/>
              </w:rPr>
              <w:t xml:space="preserve">Приемная гильза, вкладная гильза из вспененного полимера, стопа </w:t>
            </w:r>
            <w:proofErr w:type="spellStart"/>
            <w:r>
              <w:rPr>
                <w:rFonts w:eastAsia="Times New Roman" w:cs="Times New Roman"/>
                <w:szCs w:val="24"/>
              </w:rPr>
              <w:t>бесшарнирная</w:t>
            </w:r>
            <w:proofErr w:type="spellEnd"/>
            <w:r>
              <w:rPr>
                <w:rFonts w:eastAsia="Times New Roman" w:cs="Times New Roman"/>
                <w:szCs w:val="24"/>
              </w:rPr>
              <w:t xml:space="preserve">, влагозащищенная с противоскользящим покрытием, крепление влагозащищенное в виде бандажа наколенника силиконового и </w:t>
            </w:r>
            <w:r>
              <w:rPr>
                <w:rFonts w:eastAsia="Times New Roman" w:cs="Times New Roman"/>
                <w:szCs w:val="24"/>
              </w:rPr>
              <w:lastRenderedPageBreak/>
              <w:t>вакуумного клапана, жесткая влагостойкая облицовка.</w:t>
            </w:r>
          </w:p>
        </w:tc>
        <w:tc>
          <w:tcPr>
            <w:tcW w:w="1418" w:type="dxa"/>
          </w:tcPr>
          <w:p>
            <w:pPr>
              <w:jc w:val="center"/>
              <w:rPr>
                <w:rFonts w:eastAsia="Times New Roman" w:cs="Times New Roman"/>
                <w:szCs w:val="24"/>
              </w:rPr>
            </w:pPr>
            <w:r>
              <w:rPr>
                <w:rFonts w:eastAsia="Times New Roman"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1</w:t>
            </w:r>
          </w:p>
        </w:tc>
      </w:tr>
      <w:tr>
        <w:trPr>
          <w:trHeight w:val="368"/>
        </w:trPr>
        <w:tc>
          <w:tcPr>
            <w:tcW w:w="649" w:type="dxa"/>
            <w:shd w:val="clear" w:color="auto" w:fill="auto"/>
          </w:tcPr>
          <w:p>
            <w:pPr>
              <w:rPr>
                <w:rFonts w:eastAsia="Times New Roman" w:cs="Times New Roman"/>
                <w:szCs w:val="24"/>
              </w:rPr>
            </w:pPr>
          </w:p>
        </w:tc>
        <w:tc>
          <w:tcPr>
            <w:tcW w:w="1701" w:type="dxa"/>
          </w:tcPr>
          <w:p>
            <w:pPr>
              <w:rPr>
                <w:rFonts w:eastAsia="Times New Roman" w:cs="Times New Roman"/>
                <w:szCs w:val="24"/>
              </w:rPr>
            </w:pPr>
          </w:p>
        </w:tc>
        <w:tc>
          <w:tcPr>
            <w:tcW w:w="5103" w:type="dxa"/>
            <w:shd w:val="clear" w:color="auto" w:fill="auto"/>
          </w:tcPr>
          <w:p>
            <w:pPr>
              <w:spacing w:line="276" w:lineRule="auto"/>
              <w:jc w:val="both"/>
              <w:rPr>
                <w:rFonts w:eastAsia="Times New Roman" w:cs="Times New Roman"/>
                <w:szCs w:val="24"/>
              </w:rPr>
            </w:pPr>
            <w:r>
              <w:rPr>
                <w:rFonts w:eastAsia="Times New Roman" w:cs="Times New Roman"/>
                <w:szCs w:val="24"/>
              </w:rPr>
              <w:t>Итого:</w:t>
            </w:r>
          </w:p>
        </w:tc>
        <w:tc>
          <w:tcPr>
            <w:tcW w:w="1418" w:type="dxa"/>
          </w:tcPr>
          <w:p>
            <w:pPr>
              <w:jc w:val="center"/>
              <w:rPr>
                <w:rFonts w:eastAsia="Times New Roman" w:cs="Times New Roman"/>
                <w:szCs w:val="24"/>
              </w:rPr>
            </w:pPr>
          </w:p>
        </w:tc>
        <w:tc>
          <w:tcPr>
            <w:tcW w:w="1276" w:type="dxa"/>
            <w:shd w:val="clear" w:color="auto" w:fill="auto"/>
          </w:tcPr>
          <w:p>
            <w:pPr>
              <w:jc w:val="center"/>
              <w:rPr>
                <w:rFonts w:eastAsia="Times New Roman" w:cs="Times New Roman"/>
                <w:szCs w:val="24"/>
              </w:rPr>
            </w:pPr>
            <w:r>
              <w:rPr>
                <w:rFonts w:eastAsia="Times New Roman" w:cs="Times New Roman"/>
                <w:szCs w:val="24"/>
              </w:rPr>
              <w:t>2</w:t>
            </w:r>
          </w:p>
        </w:tc>
      </w:tr>
    </w:tbl>
    <w:p>
      <w:pPr>
        <w:widowControl w:val="0"/>
        <w:ind w:right="-24"/>
        <w:jc w:val="both"/>
        <w:rPr>
          <w:rFonts w:eastAsia="Calibri" w:cs="Times New Roman"/>
          <w:b/>
          <w:szCs w:val="24"/>
        </w:rPr>
      </w:pPr>
    </w:p>
    <w:p>
      <w:pPr>
        <w:ind w:right="-24"/>
        <w:jc w:val="both"/>
        <w:rPr>
          <w:rFonts w:eastAsia="Calibri" w:cs="Times New Roman"/>
          <w:szCs w:val="24"/>
          <w:lang w:eastAsia="en-US"/>
        </w:rPr>
      </w:pPr>
      <w:r>
        <w:rPr>
          <w:rFonts w:eastAsia="Calibri" w:cs="Times New Roman"/>
          <w:szCs w:val="24"/>
          <w:lang w:eastAsia="en-US"/>
        </w:rPr>
        <w:t>3.2. Качественные характеристики объекта закупки:</w:t>
      </w:r>
    </w:p>
    <w:p>
      <w:pPr>
        <w:ind w:right="-24"/>
        <w:jc w:val="both"/>
        <w:rPr>
          <w:rFonts w:eastAsia="Calibri" w:cs="Times New Roman"/>
          <w:szCs w:val="24"/>
          <w:lang w:eastAsia="en-US"/>
        </w:rPr>
      </w:pPr>
      <w:r>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pPr>
        <w:jc w:val="both"/>
        <w:rPr>
          <w:rFonts w:eastAsia="Times New Roman" w:cs="Times New Roman"/>
          <w:szCs w:val="24"/>
        </w:rPr>
      </w:pPr>
      <w:r>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53869-2021 «Протезы нижних конечностей. Технические требования»;</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 xml:space="preserve">ГОСТ Р 51819-2022 «Протезирование и </w:t>
      </w:r>
      <w:proofErr w:type="spellStart"/>
      <w:r>
        <w:rPr>
          <w:rFonts w:eastAsia="Times New Roman" w:cs="Times New Roman"/>
          <w:color w:val="000000"/>
          <w:szCs w:val="22"/>
        </w:rPr>
        <w:t>ортезирование</w:t>
      </w:r>
      <w:proofErr w:type="spellEnd"/>
      <w:r>
        <w:rPr>
          <w:rFonts w:eastAsia="Times New Roman" w:cs="Times New Roman"/>
          <w:color w:val="000000"/>
          <w:szCs w:val="22"/>
        </w:rPr>
        <w:t xml:space="preserve"> верхних и нижних конечностей. </w:t>
      </w:r>
    </w:p>
    <w:p>
      <w:pPr>
        <w:spacing w:after="3" w:line="249" w:lineRule="auto"/>
        <w:ind w:left="70" w:right="27" w:hanging="10"/>
        <w:jc w:val="both"/>
        <w:rPr>
          <w:rFonts w:eastAsia="Times New Roman" w:cs="Times New Roman"/>
          <w:color w:val="000000"/>
          <w:szCs w:val="22"/>
        </w:rPr>
      </w:pPr>
      <w:r>
        <w:rPr>
          <w:rFonts w:eastAsia="Times New Roman" w:cs="Times New Roman"/>
          <w:color w:val="000000"/>
          <w:szCs w:val="22"/>
        </w:rPr>
        <w:t>Термины и определения»;</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53870-2021 «Реабилитационные мероприятия. Услуги по протезированию нижних конечностей. Состав, содержание и порядок предоставления услуг»;</w:t>
      </w:r>
    </w:p>
    <w:p>
      <w:pPr>
        <w:numPr>
          <w:ilvl w:val="0"/>
          <w:numId w:val="5"/>
        </w:numPr>
        <w:spacing w:after="3" w:line="249" w:lineRule="auto"/>
        <w:ind w:right="27"/>
        <w:jc w:val="both"/>
        <w:rPr>
          <w:rFonts w:eastAsia="Times New Roman" w:cs="Times New Roman"/>
          <w:color w:val="000000"/>
          <w:szCs w:val="22"/>
        </w:rPr>
      </w:pPr>
      <w:r>
        <w:rPr>
          <w:rFonts w:eastAsia="Times New Roman" w:cs="Times New Roman"/>
          <w:color w:val="000000"/>
          <w:szCs w:val="22"/>
        </w:rPr>
        <w:t>ГОСТ Р ИСО 13405-2018 «Протезирование и ортопедия. Классификация и описание узлов протезов».</w:t>
      </w:r>
    </w:p>
    <w:p>
      <w:pPr>
        <w:ind w:right="-24"/>
        <w:jc w:val="both"/>
        <w:rPr>
          <w:rFonts w:eastAsia="Calibri" w:cs="Times New Roman"/>
          <w:bCs/>
          <w:szCs w:val="24"/>
          <w:lang w:eastAsia="en-US"/>
        </w:rPr>
      </w:pPr>
      <w:r>
        <w:rPr>
          <w:rFonts w:eastAsia="Calibri" w:cs="Times New Roman"/>
          <w:bCs/>
          <w:szCs w:val="24"/>
          <w:lang w:eastAsia="en-US"/>
        </w:rPr>
        <w:t>3.2.3</w:t>
      </w:r>
      <w:r>
        <w:rPr>
          <w:rFonts w:eastAsia="Times New Roman" w:cs="Times New Roman"/>
          <w:szCs w:val="24"/>
        </w:rPr>
        <w:t xml:space="preserve"> Изделия должны быть новыми</w:t>
      </w:r>
      <w:r>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Pr>
          <w:rFonts w:eastAsia="Times New Roman" w:cs="Times New Roman"/>
          <w:szCs w:val="24"/>
        </w:rPr>
        <w:t>Изделия должны быть свободными от прав третьих лиц.</w:t>
      </w:r>
    </w:p>
    <w:p>
      <w:pPr>
        <w:autoSpaceDE w:val="0"/>
        <w:jc w:val="both"/>
        <w:rPr>
          <w:rFonts w:eastAsia="Times New Roman" w:cs="Times New Roman"/>
          <w:szCs w:val="24"/>
        </w:rPr>
      </w:pPr>
      <w:r>
        <w:rPr>
          <w:rFonts w:eastAsia="Calibri" w:cs="Times New Roman"/>
          <w:bCs/>
          <w:szCs w:val="24"/>
          <w:lang w:eastAsia="en-US"/>
        </w:rPr>
        <w:t xml:space="preserve">3.2.4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Pr>
          <w:rFonts w:eastAsia="Times New Roman" w:cs="Times New Roman"/>
          <w:szCs w:val="24"/>
        </w:rPr>
        <w:t>ортезы</w:t>
      </w:r>
      <w:proofErr w:type="spellEnd"/>
      <w:r>
        <w:rPr>
          <w:rFonts w:eastAsia="Times New Roman" w:cs="Times New Roman"/>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pPr>
        <w:jc w:val="both"/>
        <w:rPr>
          <w:rFonts w:eastAsia="Times New Roman" w:cs="Times New Roman"/>
          <w:szCs w:val="24"/>
        </w:rPr>
      </w:pPr>
      <w:r>
        <w:rPr>
          <w:rFonts w:eastAsia="Times New Roman" w:cs="Times New Roman"/>
          <w:szCs w:val="24"/>
        </w:rPr>
        <w:t xml:space="preserve">3.3. Гарантийный срок на Изделие составляет: </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rPr>
        <w:t xml:space="preserve">на функциональные части и на </w:t>
      </w:r>
      <w:proofErr w:type="spellStart"/>
      <w:r>
        <w:rPr>
          <w:rFonts w:eastAsia="Times New Roman" w:cs="Times New Roman"/>
          <w:szCs w:val="24"/>
        </w:rPr>
        <w:t>культеприемную</w:t>
      </w:r>
      <w:proofErr w:type="spellEnd"/>
      <w:r>
        <w:rPr>
          <w:rFonts w:eastAsia="Times New Roman" w:cs="Times New Roman"/>
          <w:szCs w:val="24"/>
        </w:rPr>
        <w:t xml:space="preserve"> гильзу индивидуального изготовления не менее 12 (двенадцати) месяцев с даты получения Изделия Получателем.</w:t>
      </w:r>
    </w:p>
    <w:p>
      <w:pPr>
        <w:ind w:right="-24"/>
        <w:jc w:val="both"/>
        <w:rPr>
          <w:rFonts w:eastAsia="Calibri" w:cs="Times New Roman"/>
          <w:bCs/>
          <w:szCs w:val="24"/>
          <w:lang w:eastAsia="en-US"/>
        </w:rPr>
      </w:pPr>
      <w:r>
        <w:rPr>
          <w:rFonts w:eastAsia="Calibri" w:cs="Times New Roman"/>
          <w:bCs/>
          <w:szCs w:val="24"/>
          <w:lang w:eastAsia="en-US"/>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Calibri" w:cs="Times New Roman"/>
          <w:bCs/>
          <w:szCs w:val="24"/>
          <w:lang w:eastAsia="en-US"/>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ind w:right="-24"/>
        <w:jc w:val="both"/>
        <w:rPr>
          <w:rFonts w:eastAsia="Calibri" w:cs="Times New Roman"/>
          <w:bCs/>
          <w:szCs w:val="24"/>
          <w:lang w:eastAsia="en-US"/>
        </w:rPr>
      </w:pPr>
      <w:r>
        <w:rPr>
          <w:rFonts w:eastAsia="Calibri" w:cs="Times New Roman"/>
          <w:bCs/>
          <w:szCs w:val="24"/>
          <w:lang w:eastAsia="en-US"/>
        </w:rPr>
        <w:t>4.2.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Calibri" w:cs="Times New Roman"/>
          <w:szCs w:val="24"/>
        </w:rPr>
      </w:pPr>
      <w:r>
        <w:rPr>
          <w:rFonts w:eastAsia="Calibri" w:cs="Times New Roman"/>
          <w:bCs/>
          <w:szCs w:val="24"/>
          <w:lang w:eastAsia="en-US"/>
        </w:rPr>
        <w:t>В случае, если от</w:t>
      </w:r>
      <w:r>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pPr>
        <w:ind w:right="-24"/>
        <w:jc w:val="both"/>
        <w:rPr>
          <w:rFonts w:eastAsia="Calibri" w:cs="Times New Roman"/>
          <w:szCs w:val="24"/>
        </w:rPr>
      </w:pPr>
      <w:r>
        <w:rPr>
          <w:rFonts w:eastAsia="Calibri" w:cs="Times New Roman"/>
          <w:szCs w:val="24"/>
        </w:rPr>
        <w:lastRenderedPageBreak/>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jc w:val="both"/>
        <w:rPr>
          <w:rFonts w:ascii="Times New Roman CYR" w:eastAsia="Calibri" w:hAnsi="Times New Roman CYR" w:cs="Times New Roman CYR"/>
          <w:szCs w:val="24"/>
        </w:rPr>
      </w:pPr>
      <w:r>
        <w:rPr>
          <w:rFonts w:eastAsia="Calibri" w:cs="Times New Roman"/>
          <w:szCs w:val="24"/>
        </w:rPr>
        <w:t xml:space="preserve">4.3. </w:t>
      </w:r>
      <w:r>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w:t>
      </w:r>
      <w:proofErr w:type="spellStart"/>
      <w:r>
        <w:rPr>
          <w:rFonts w:ascii="Times New Roman CYR" w:eastAsia="Calibri" w:hAnsi="Times New Roman CYR" w:cs="Times New Roman CYR"/>
          <w:szCs w:val="24"/>
        </w:rPr>
        <w:t>Роспотребнадзора</w:t>
      </w:r>
      <w:proofErr w:type="spellEnd"/>
      <w:r>
        <w:rPr>
          <w:rFonts w:ascii="Times New Roman CYR" w:eastAsia="Calibri" w:hAnsi="Times New Roman CYR" w:cs="Times New Roman CYR"/>
          <w:szCs w:val="2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Pr>
          <w:rFonts w:ascii="Times New Roman CYR" w:eastAsia="Calibri" w:hAnsi="Times New Roman CYR" w:cs="Times New Roman CYR"/>
          <w:szCs w:val="24"/>
        </w:rPr>
        <w:t>коронавирусной</w:t>
      </w:r>
      <w:proofErr w:type="spellEnd"/>
      <w:r>
        <w:rPr>
          <w:rFonts w:ascii="Times New Roman CYR" w:eastAsia="Calibri" w:hAnsi="Times New Roman CYR" w:cs="Times New Roman CYR"/>
          <w:szCs w:val="24"/>
        </w:rPr>
        <w:t xml:space="preserve"> инфекции (COVID-19).</w:t>
      </w:r>
    </w:p>
    <w:p>
      <w:pPr>
        <w:ind w:right="-24"/>
        <w:jc w:val="both"/>
        <w:rPr>
          <w:rFonts w:eastAsia="Calibri" w:cs="Times New Roman"/>
          <w:szCs w:val="24"/>
        </w:rPr>
      </w:pPr>
      <w:r>
        <w:rPr>
          <w:rFonts w:eastAsia="Calibri" w:cs="Times New Roman"/>
          <w:szCs w:val="24"/>
        </w:rPr>
        <w:t>4.4.</w:t>
      </w:r>
      <w:r>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w:t>
      </w:r>
    </w:p>
    <w:p>
      <w:pPr>
        <w:ind w:right="-24"/>
        <w:jc w:val="both"/>
        <w:rPr>
          <w:rFonts w:eastAsia="Calibri" w:cs="Times New Roman"/>
          <w:color w:val="000000"/>
          <w:szCs w:val="24"/>
        </w:rPr>
      </w:pPr>
      <w:r>
        <w:rPr>
          <w:rFonts w:eastAsia="Calibri" w:cs="Times New Roman"/>
          <w:szCs w:val="24"/>
        </w:rPr>
        <w:t>4.5.</w:t>
      </w:r>
      <w:r>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Calibri" w:cs="Times New Roman"/>
          <w:color w:val="000000"/>
          <w:szCs w:val="24"/>
        </w:rPr>
      </w:pPr>
      <w:r>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pPr>
        <w:autoSpaceDE w:val="0"/>
        <w:ind w:right="-24"/>
        <w:jc w:val="both"/>
        <w:rPr>
          <w:rFonts w:eastAsia="Calibri" w:cs="Times New Roman"/>
          <w:color w:val="000000"/>
          <w:szCs w:val="24"/>
        </w:rPr>
      </w:pPr>
      <w:r>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pPr>
        <w:suppressAutoHyphens/>
        <w:ind w:right="-24"/>
        <w:jc w:val="both"/>
        <w:rPr>
          <w:rFonts w:eastAsia="Calibri" w:cs="Times New Roman"/>
          <w:szCs w:val="24"/>
        </w:rPr>
      </w:pPr>
      <w:r>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w:t>
      </w:r>
    </w:p>
    <w:p>
      <w:pPr>
        <w:jc w:val="both"/>
        <w:rPr>
          <w:rFonts w:ascii="Times New Roman CYR" w:eastAsia="Calibri" w:hAnsi="Times New Roman CYR" w:cs="Times New Roman CYR"/>
          <w:szCs w:val="24"/>
        </w:rPr>
      </w:pPr>
      <w:r>
        <w:rPr>
          <w:rFonts w:eastAsia="Calibri" w:cs="Times New Roman"/>
          <w:szCs w:val="24"/>
        </w:rPr>
        <w:t xml:space="preserve">4.6. </w:t>
      </w:r>
      <w:r>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Pr>
          <w:rFonts w:eastAsia="Calibri" w:cs="Times New Roman"/>
          <w:szCs w:val="24"/>
        </w:rPr>
        <w:t>а также осуществлять прием заявок на доставку Изделия по месту нахождения Получателя</w:t>
      </w:r>
      <w:r>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jc w:val="both"/>
        <w:rPr>
          <w:rFonts w:eastAsia="Calibri" w:cs="Times New Roman"/>
          <w:szCs w:val="24"/>
        </w:rPr>
      </w:pPr>
      <w:r>
        <w:rPr>
          <w:rFonts w:ascii="Times New Roman CYR" w:eastAsia="Calibri" w:hAnsi="Times New Roman CYR" w:cs="Times New Roman CYR"/>
          <w:szCs w:val="24"/>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pPr>
        <w:jc w:val="both"/>
        <w:rPr>
          <w:rFonts w:eastAsia="Calibri" w:cs="Times New Roman"/>
          <w:szCs w:val="24"/>
        </w:rPr>
      </w:pPr>
      <w:r>
        <w:rPr>
          <w:rFonts w:eastAsia="Calibri" w:cs="Times New Roman"/>
          <w:szCs w:val="24"/>
        </w:rPr>
        <w:t xml:space="preserve">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w:t>
      </w:r>
      <w:r>
        <w:rPr>
          <w:rFonts w:eastAsia="Calibri" w:cs="Times New Roman"/>
          <w:szCs w:val="24"/>
        </w:rPr>
        <w:lastRenderedPageBreak/>
        <w:t>пометкой о времени звонка, результате звонка и выборе Получателем способа, места и времени доставки Изделия.</w:t>
      </w:r>
    </w:p>
    <w:p>
      <w:pPr>
        <w:jc w:val="both"/>
        <w:rPr>
          <w:rFonts w:eastAsia="Calibri" w:cs="Times New Roman"/>
          <w:szCs w:val="24"/>
        </w:rPr>
      </w:pPr>
      <w:r>
        <w:rPr>
          <w:rFonts w:eastAsia="Calibri"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pPr>
        <w:ind w:right="-24"/>
        <w:jc w:val="both"/>
        <w:rPr>
          <w:rFonts w:eastAsia="Calibri" w:cs="Times New Roman"/>
          <w:szCs w:val="24"/>
        </w:rPr>
      </w:pPr>
      <w:r>
        <w:rPr>
          <w:rFonts w:eastAsia="Calibri" w:cs="Times New Roman"/>
          <w:szCs w:val="24"/>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Fonts w:eastAsia="Calibri" w:cs="Times New Roman"/>
            <w:szCs w:val="24"/>
          </w:rPr>
          <w:t>osp@ro78.fss.ru</w:t>
        </w:r>
      </w:hyperlink>
      <w:r>
        <w:rPr>
          <w:rFonts w:eastAsia="Calibri" w:cs="Times New Roman"/>
          <w:szCs w:val="24"/>
        </w:rPr>
        <w:t xml:space="preserve">, </w:t>
      </w:r>
      <w:hyperlink r:id="rId6" w:history="1">
        <w:r>
          <w:rPr>
            <w:rFonts w:eastAsia="Calibri" w:cs="Times New Roman"/>
            <w:szCs w:val="24"/>
          </w:rPr>
          <w:t>tsrfil31@ro78.fss.ru</w:t>
        </w:r>
      </w:hyperlink>
      <w:r>
        <w:rPr>
          <w:rFonts w:eastAsia="Calibri" w:cs="Times New Roman"/>
          <w:szCs w:val="24"/>
        </w:rPr>
        <w:t>.</w:t>
      </w:r>
    </w:p>
    <w:p>
      <w:pPr>
        <w:autoSpaceDE w:val="0"/>
        <w:autoSpaceDN w:val="0"/>
        <w:adjustRightInd w:val="0"/>
        <w:jc w:val="both"/>
        <w:rPr>
          <w:rFonts w:eastAsia="Calibri" w:cs="Times New Roman"/>
          <w:szCs w:val="24"/>
        </w:rPr>
      </w:pPr>
      <w:r>
        <w:rPr>
          <w:rFonts w:eastAsia="Calibri" w:cs="Times New Roman"/>
          <w:szCs w:val="24"/>
        </w:rPr>
        <w:t xml:space="preserve">4.9.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номер контактного телефона;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адрес электронной почты;</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contextualSpacing/>
        <w:jc w:val="both"/>
        <w:rPr>
          <w:rFonts w:ascii="Calibri" w:eastAsia="Calibri" w:hAnsi="Calibri" w:cs="Times New Roman"/>
          <w:szCs w:val="24"/>
          <w:lang w:eastAsia="en-US"/>
        </w:rPr>
      </w:pPr>
      <w:r>
        <w:rPr>
          <w:rFonts w:eastAsia="Calibri" w:cs="Times New Roman"/>
          <w:szCs w:val="24"/>
          <w:lang w:eastAsia="en-US"/>
        </w:rPr>
        <w:t xml:space="preserve">срок </w:t>
      </w:r>
      <w:proofErr w:type="spellStart"/>
      <w:r>
        <w:rPr>
          <w:rFonts w:eastAsia="Calibri" w:cs="Times New Roman"/>
          <w:szCs w:val="24"/>
          <w:lang w:eastAsia="en-US"/>
        </w:rPr>
        <w:t>соисполнительства</w:t>
      </w:r>
      <w:proofErr w:type="spellEnd"/>
      <w:r>
        <w:rPr>
          <w:rFonts w:eastAsia="Calibri" w:cs="Times New Roman"/>
          <w:szCs w:val="24"/>
          <w:lang w:eastAsia="en-US"/>
        </w:rPr>
        <w:t>.</w:t>
      </w:r>
    </w:p>
    <w:p>
      <w:pPr>
        <w:autoSpaceDE w:val="0"/>
        <w:autoSpaceDN w:val="0"/>
        <w:adjustRightInd w:val="0"/>
        <w:jc w:val="both"/>
        <w:rPr>
          <w:rFonts w:eastAsia="Calibri" w:cs="Times New Roman"/>
          <w:szCs w:val="24"/>
        </w:rPr>
      </w:pPr>
      <w:r>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Calibri" w:cs="Times New Roman"/>
          <w:szCs w:val="24"/>
        </w:rPr>
      </w:pPr>
      <w:r>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Calibri" w:cs="Times New Roman"/>
          <w:szCs w:val="24"/>
        </w:rPr>
      </w:pPr>
      <w:r>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Pr>
            <w:rFonts w:eastAsia="Calibri" w:cs="Times New Roman"/>
            <w:szCs w:val="24"/>
            <w:lang w:val="en-US"/>
          </w:rPr>
          <w:t>osp</w:t>
        </w:r>
        <w:r>
          <w:rPr>
            <w:rFonts w:eastAsia="Calibri" w:cs="Times New Roman"/>
            <w:szCs w:val="24"/>
          </w:rPr>
          <w:t>@</w:t>
        </w:r>
        <w:r>
          <w:rPr>
            <w:rFonts w:eastAsia="Calibri" w:cs="Times New Roman"/>
            <w:szCs w:val="24"/>
            <w:lang w:val="en-US"/>
          </w:rPr>
          <w:t>ro</w:t>
        </w:r>
        <w:r>
          <w:rPr>
            <w:rFonts w:eastAsia="Calibri" w:cs="Times New Roman"/>
            <w:szCs w:val="24"/>
          </w:rPr>
          <w:t>78.</w:t>
        </w:r>
        <w:r>
          <w:rPr>
            <w:rFonts w:eastAsia="Calibri" w:cs="Times New Roman"/>
            <w:szCs w:val="24"/>
            <w:lang w:val="en-US"/>
          </w:rPr>
          <w:t>fss</w:t>
        </w:r>
        <w:r>
          <w:rPr>
            <w:rFonts w:eastAsia="Calibri" w:cs="Times New Roman"/>
            <w:szCs w:val="24"/>
          </w:rPr>
          <w:t>.</w:t>
        </w:r>
        <w:proofErr w:type="spellStart"/>
        <w:r>
          <w:rPr>
            <w:rFonts w:eastAsia="Calibri" w:cs="Times New Roman"/>
            <w:szCs w:val="24"/>
            <w:lang w:val="en-US"/>
          </w:rPr>
          <w:t>ru</w:t>
        </w:r>
        <w:proofErr w:type="spellEnd"/>
      </w:hyperlink>
      <w:r>
        <w:rPr>
          <w:rFonts w:eastAsia="Calibri" w:cs="Times New Roman"/>
          <w:szCs w:val="24"/>
        </w:rPr>
        <w:t xml:space="preserve">. </w:t>
      </w:r>
    </w:p>
    <w:p>
      <w:pPr>
        <w:ind w:left="142" w:right="9"/>
        <w:jc w:val="both"/>
        <w:rPr>
          <w:rFonts w:eastAsia="Calibri" w:cs="Times New Roman"/>
          <w:color w:val="000000"/>
          <w:szCs w:val="24"/>
        </w:rPr>
      </w:pPr>
      <w:r>
        <w:rPr>
          <w:rFonts w:eastAsia="Calibri" w:cs="Times New Roman"/>
          <w:color w:val="000000"/>
          <w:szCs w:val="24"/>
        </w:rPr>
        <w:t>5. Способ выдачи Изделий:</w:t>
      </w:r>
    </w:p>
    <w:p>
      <w:pPr>
        <w:rPr>
          <w:rFonts w:eastAsia="Calibri" w:cs="Times New Roman"/>
          <w:color w:val="000000"/>
          <w:szCs w:val="24"/>
        </w:rPr>
      </w:pPr>
      <w:r>
        <w:rPr>
          <w:rFonts w:eastAsia="Calibri" w:cs="Times New Roman"/>
          <w:b/>
          <w:color w:val="000000"/>
          <w:szCs w:val="24"/>
        </w:rPr>
        <w:t>5.1.</w:t>
      </w:r>
      <w:r>
        <w:rPr>
          <w:rFonts w:eastAsia="Calibri" w:cs="Times New Roman"/>
          <w:color w:val="000000"/>
          <w:szCs w:val="24"/>
        </w:rPr>
        <w:t xml:space="preserve"> </w:t>
      </w:r>
      <w:r>
        <w:rPr>
          <w:rFonts w:eastAsia="Times New Roman" w:cs="Times New Roman"/>
          <w:b/>
          <w:color w:val="000000"/>
          <w:szCs w:val="22"/>
        </w:rPr>
        <w:t>Исполнитель передает Получателям Изделий следующими способами:</w:t>
      </w:r>
    </w:p>
    <w:p>
      <w:pPr>
        <w:numPr>
          <w:ilvl w:val="0"/>
          <w:numId w:val="2"/>
        </w:numPr>
        <w:ind w:right="9"/>
        <w:jc w:val="both"/>
        <w:rPr>
          <w:rFonts w:eastAsia="Calibri" w:cs="Times New Roman"/>
          <w:color w:val="000000"/>
          <w:szCs w:val="24"/>
        </w:rPr>
      </w:pPr>
      <w:r>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spacing w:line="249" w:lineRule="auto"/>
        <w:ind w:right="9"/>
        <w:jc w:val="both"/>
        <w:rPr>
          <w:rFonts w:eastAsia="Calibri" w:cs="Times New Roman"/>
          <w:color w:val="000000"/>
          <w:szCs w:val="24"/>
          <w:lang w:eastAsia="en-US"/>
        </w:rPr>
      </w:pPr>
      <w:r>
        <w:rPr>
          <w:rFonts w:eastAsia="Calibri" w:cs="Times New Roman"/>
          <w:color w:val="000000"/>
          <w:szCs w:val="24"/>
        </w:rPr>
        <w:t xml:space="preserve">в </w:t>
      </w:r>
      <w:r>
        <w:rPr>
          <w:rFonts w:eastAsia="Times New Roman" w:cs="Times New Roman"/>
          <w:color w:val="000000"/>
          <w:szCs w:val="22"/>
        </w:rPr>
        <w:t>пункте (пунктах) приема Получателей, предоставляемых Заказчиком без взимании платы Исполнителю. Исполнитель обязан организовать выдачу Изделий в предложенном пункте приема.  Пункт приема, предоставленный Заказчиком, может быть использован Исполнителем в качестве основного и единственного пункта приема Получателей.</w:t>
      </w:r>
      <w:r>
        <w:rPr>
          <w:rFonts w:eastAsia="Times New Roman" w:cs="Times New Roman"/>
          <w:b/>
          <w:color w:val="000000"/>
          <w:szCs w:val="22"/>
        </w:rPr>
        <w:t xml:space="preserve"> </w:t>
      </w:r>
    </w:p>
    <w:p>
      <w:pPr>
        <w:numPr>
          <w:ilvl w:val="1"/>
          <w:numId w:val="6"/>
        </w:numPr>
        <w:suppressAutoHyphens/>
        <w:autoSpaceDE w:val="0"/>
        <w:autoSpaceDN w:val="0"/>
        <w:adjustRightInd w:val="0"/>
        <w:spacing w:line="249" w:lineRule="auto"/>
        <w:ind w:right="9" w:hanging="21"/>
        <w:contextualSpacing/>
        <w:jc w:val="both"/>
        <w:rPr>
          <w:rFonts w:eastAsia="Calibri" w:cs="Times New Roman"/>
          <w:color w:val="000000"/>
          <w:szCs w:val="24"/>
          <w:lang w:eastAsia="en-US"/>
        </w:rPr>
      </w:pPr>
      <w:r>
        <w:rPr>
          <w:rFonts w:eastAsia="Calibri" w:cs="Times New Roman"/>
          <w:color w:val="000000"/>
          <w:szCs w:val="24"/>
          <w:lang w:eastAsia="en-US"/>
        </w:rPr>
        <w:t xml:space="preserve">Исполнитель вправе организовать пункт приема Получателей. В случае организации нескольких пунктов приема они должны быть организованы в различных районах Санкт-Петербурга. При организации Исполнителем пункта приема Получателей Исполнитель должен предоставить Заказчику информацию об адресе пункта (пунктов) приема, графике работы пункта (пунктов), контактном телефоне. При принятии решения об организации пункта приема Получателей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 </w:t>
      </w:r>
    </w:p>
    <w:p>
      <w:pPr>
        <w:suppressAutoHyphens/>
        <w:autoSpaceDE w:val="0"/>
        <w:autoSpaceDN w:val="0"/>
        <w:adjustRightInd w:val="0"/>
        <w:spacing w:line="249" w:lineRule="auto"/>
        <w:ind w:right="9"/>
        <w:contextualSpacing/>
        <w:jc w:val="both"/>
        <w:rPr>
          <w:rFonts w:eastAsia="Calibri" w:cs="Times New Roman"/>
          <w:color w:val="000000"/>
          <w:szCs w:val="24"/>
          <w:lang w:eastAsia="en-US"/>
        </w:rPr>
      </w:pPr>
      <w:r>
        <w:rPr>
          <w:rFonts w:eastAsia="Calibri" w:cs="Times New Roman"/>
          <w:color w:val="000000"/>
          <w:szCs w:val="24"/>
          <w:lang w:eastAsia="en-US"/>
        </w:rPr>
        <w:t>5.2.1. При организации Исполнителем пункта (пунктов) приема Получателей, помещение под размещение такого пункта (пунктов) должно быть доступно для лиц с ограниченными возможностями в соответствии со статьей 15 Федерального закона от 24.11.1995 №181 «О социальной защите инвалидов в Российской Федерации».</w:t>
      </w:r>
    </w:p>
    <w:p>
      <w:pPr>
        <w:suppressAutoHyphens/>
        <w:jc w:val="both"/>
        <w:rPr>
          <w:rFonts w:eastAsia="Calibri" w:cs="Times New Roman"/>
          <w:color w:val="000000"/>
          <w:szCs w:val="24"/>
          <w:lang w:eastAsia="en-US"/>
        </w:rPr>
      </w:pPr>
      <w:r>
        <w:rPr>
          <w:rFonts w:eastAsia="Calibri" w:cs="Times New Roman"/>
          <w:color w:val="000000"/>
          <w:szCs w:val="24"/>
          <w:lang w:eastAsia="en-US"/>
        </w:rPr>
        <w:lastRenderedPageBreak/>
        <w:t xml:space="preserve">Вход в каждый пункт (пункты) приема должен быть обозначен надписью (например, "Пункт выдачи ТСР"),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получателей (в случае необходимости, пункты приема должны быть оборудованы пандусами для облегчения </w:t>
      </w:r>
      <w:proofErr w:type="gramStart"/>
      <w:r>
        <w:rPr>
          <w:rFonts w:eastAsia="Calibri" w:cs="Times New Roman"/>
          <w:color w:val="000000"/>
          <w:szCs w:val="24"/>
          <w:lang w:eastAsia="en-US"/>
        </w:rPr>
        <w:t>передвижения</w:t>
      </w:r>
      <w:proofErr w:type="gramEnd"/>
      <w:r>
        <w:rPr>
          <w:rFonts w:eastAsia="Calibri" w:cs="Times New Roman"/>
          <w:color w:val="000000"/>
          <w:szCs w:val="24"/>
          <w:lang w:eastAsia="en-US"/>
        </w:rPr>
        <w:t xml:space="preserve"> пострадавших с инвалидностью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pPr>
        <w:suppressAutoHyphens/>
        <w:jc w:val="both"/>
        <w:rPr>
          <w:rFonts w:eastAsia="Calibri" w:cs="Times New Roman"/>
          <w:szCs w:val="24"/>
        </w:rPr>
      </w:pPr>
      <w:r>
        <w:rPr>
          <w:rFonts w:eastAsia="Calibri" w:cs="Times New Roman"/>
          <w:b/>
          <w:szCs w:val="24"/>
        </w:rPr>
        <w:t>Входная группа</w:t>
      </w:r>
      <w:r>
        <w:rPr>
          <w:rFonts w:eastAsia="Calibri" w:cs="Times New Roman"/>
          <w:szCs w:val="24"/>
        </w:rPr>
        <w:t xml:space="preserve"> </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szCs w:val="24"/>
        </w:rPr>
      </w:pPr>
      <w:r>
        <w:rPr>
          <w:rFonts w:eastAsia="Calibri" w:cs="Times New Roman"/>
          <w:szCs w:val="24"/>
        </w:rPr>
        <w:t>- Пандус с поручнями (в соответствии с п. 5.1.14 – п. 5.1.16; п. 6.1.2 – п. 6.1.4; п. 6.2.9 – п. 6.2.11 СП 59.13330.2020);</w:t>
      </w:r>
    </w:p>
    <w:p>
      <w:pPr>
        <w:suppressAutoHyphens/>
        <w:jc w:val="both"/>
        <w:rPr>
          <w:rFonts w:eastAsia="Calibri" w:cs="Times New Roman"/>
          <w:szCs w:val="24"/>
        </w:rPr>
      </w:pPr>
      <w:r>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Calibri" w:cs="Times New Roman"/>
          <w:szCs w:val="24"/>
        </w:rPr>
      </w:pPr>
      <w:r>
        <w:rPr>
          <w:rFonts w:eastAsia="Calibri" w:cs="Times New Roman"/>
          <w:szCs w:val="24"/>
        </w:rPr>
        <w:t>- Лестница с поручнями;</w:t>
      </w:r>
    </w:p>
    <w:p>
      <w:pPr>
        <w:autoSpaceDE w:val="0"/>
        <w:autoSpaceDN w:val="0"/>
        <w:adjustRightInd w:val="0"/>
        <w:jc w:val="both"/>
        <w:rPr>
          <w:rFonts w:eastAsia="Calibri" w:cs="Times New Roman"/>
          <w:szCs w:val="24"/>
        </w:rPr>
      </w:pPr>
      <w:r>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Calibri" w:cs="Times New Roman"/>
          <w:szCs w:val="24"/>
        </w:rPr>
      </w:pPr>
      <w:r>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Применение для инвалидов вместо пандусов аппарелей не допускается на объекте (в соответствии с п. 6.1.2 СП 59.13330.2020).</w:t>
      </w:r>
    </w:p>
    <w:p>
      <w:pPr>
        <w:suppressAutoHyphens/>
        <w:jc w:val="both"/>
        <w:rPr>
          <w:rFonts w:eastAsia="Calibri" w:cs="Times New Roman"/>
          <w:color w:val="000000"/>
          <w:szCs w:val="24"/>
        </w:rPr>
      </w:pPr>
      <w:r>
        <w:rPr>
          <w:rFonts w:eastAsia="Calibri"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Calibri" w:cs="Times New Roman"/>
          <w:szCs w:val="24"/>
        </w:rPr>
        <w:t xml:space="preserve">в соответствии с </w:t>
      </w:r>
      <w:r>
        <w:rPr>
          <w:rFonts w:eastAsia="Calibri" w:cs="Times New Roman"/>
          <w:color w:val="000000"/>
          <w:szCs w:val="24"/>
        </w:rPr>
        <w:t>п. 6.1.5, п. 6.1.6, п. 6.2.4 СП 59.13330.2020).</w:t>
      </w:r>
    </w:p>
    <w:p>
      <w:pPr>
        <w:suppressAutoHyphens/>
        <w:jc w:val="both"/>
        <w:rPr>
          <w:rFonts w:eastAsia="Calibri" w:cs="Times New Roman"/>
          <w:szCs w:val="24"/>
        </w:rPr>
      </w:pPr>
      <w:r>
        <w:rPr>
          <w:rFonts w:eastAsia="Calibri" w:cs="Times New Roman"/>
          <w:szCs w:val="24"/>
        </w:rPr>
        <w:t>- Тактильно-контрастные указатели;</w:t>
      </w:r>
    </w:p>
    <w:p>
      <w:pPr>
        <w:suppressAutoHyphens/>
        <w:jc w:val="both"/>
        <w:rPr>
          <w:rFonts w:eastAsia="Calibri" w:cs="Times New Roman"/>
          <w:szCs w:val="24"/>
        </w:rPr>
      </w:pPr>
      <w:r>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Calibri" w:cs="Times New Roman"/>
          <w:b/>
          <w:szCs w:val="24"/>
        </w:rPr>
      </w:pPr>
      <w:r>
        <w:rPr>
          <w:rFonts w:eastAsia="Calibri" w:cs="Times New Roman"/>
          <w:b/>
          <w:szCs w:val="24"/>
        </w:rPr>
        <w:t xml:space="preserve">Пути движения внутри пункта (пунктов) </w:t>
      </w:r>
      <w:r>
        <w:rPr>
          <w:rFonts w:eastAsia="Calibri" w:cs="Times New Roman"/>
          <w:b/>
          <w:bCs/>
          <w:color w:val="000000"/>
          <w:szCs w:val="24"/>
        </w:rPr>
        <w:t>приема Получателей</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b/>
          <w:szCs w:val="24"/>
        </w:rPr>
      </w:pPr>
      <w:r>
        <w:rPr>
          <w:rFonts w:eastAsia="Calibri" w:cs="Times New Roman"/>
          <w:szCs w:val="24"/>
        </w:rPr>
        <w:t>- Лифт, подъемная платформа, эскалатор (в соответствии с п. 6.2.13 – п. 6.2.18 СП 59.13330.2020).</w:t>
      </w:r>
      <w:r>
        <w:rPr>
          <w:rFonts w:eastAsia="Calibri" w:cs="Times New Roman"/>
          <w:b/>
          <w:szCs w:val="24"/>
        </w:rPr>
        <w:t xml:space="preserve"> </w:t>
      </w:r>
    </w:p>
    <w:p>
      <w:pPr>
        <w:suppressAutoHyphens/>
        <w:jc w:val="both"/>
        <w:rPr>
          <w:rFonts w:eastAsia="Calibri" w:cs="Times New Roman"/>
          <w:szCs w:val="24"/>
        </w:rPr>
      </w:pPr>
      <w:r>
        <w:rPr>
          <w:rFonts w:eastAsia="Calibri" w:cs="Times New Roman"/>
          <w:szCs w:val="24"/>
        </w:rPr>
        <w:t>Лифт должен иметь габариты не менее 1100х1400 мм (ширина х глубина).</w:t>
      </w:r>
    </w:p>
    <w:p>
      <w:pPr>
        <w:suppressAutoHyphens/>
        <w:jc w:val="both"/>
        <w:rPr>
          <w:rFonts w:eastAsia="Calibri" w:cs="Times New Roman"/>
          <w:b/>
          <w:szCs w:val="24"/>
        </w:rPr>
      </w:pPr>
      <w:r>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Calibri" w:cs="Times New Roman"/>
          <w:szCs w:val="24"/>
        </w:rPr>
      </w:pPr>
      <w:r>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Calibri" w:cs="Times New Roman"/>
          <w:szCs w:val="24"/>
        </w:rPr>
      </w:pPr>
      <w:r>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Calibri" w:cs="Times New Roman"/>
          <w:szCs w:val="24"/>
        </w:rPr>
      </w:pPr>
      <w:r>
        <w:rPr>
          <w:rFonts w:eastAsia="Calibri" w:cs="Times New Roman"/>
          <w:szCs w:val="24"/>
        </w:rPr>
        <w:t xml:space="preserve">- </w:t>
      </w:r>
      <w:proofErr w:type="gramStart"/>
      <w:r>
        <w:rPr>
          <w:rFonts w:eastAsia="Calibri" w:cs="Times New Roman"/>
          <w:szCs w:val="24"/>
        </w:rPr>
        <w:t>В</w:t>
      </w:r>
      <w:proofErr w:type="gramEnd"/>
      <w:r>
        <w:rPr>
          <w:rFonts w:eastAsia="Calibri" w:cs="Times New Roman"/>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Calibri" w:cs="Times New Roman"/>
          <w:b/>
          <w:szCs w:val="24"/>
        </w:rPr>
      </w:pPr>
      <w:r>
        <w:rPr>
          <w:rFonts w:eastAsia="Calibri" w:cs="Times New Roman"/>
          <w:b/>
          <w:szCs w:val="24"/>
        </w:rPr>
        <w:t>Пути эвакуации</w:t>
      </w:r>
    </w:p>
    <w:p>
      <w:pPr>
        <w:suppressAutoHyphens/>
        <w:jc w:val="both"/>
        <w:rPr>
          <w:rFonts w:eastAsia="Calibri" w:cs="Times New Roman"/>
          <w:szCs w:val="24"/>
        </w:rPr>
      </w:pPr>
      <w:r>
        <w:rPr>
          <w:rFonts w:eastAsia="Calibri" w:cs="Times New Roman"/>
          <w:szCs w:val="24"/>
        </w:rPr>
        <w:lastRenderedPageBreak/>
        <w:t xml:space="preserve">В случае невозможности соблюдения положений </w:t>
      </w:r>
      <w:r>
        <w:rPr>
          <w:rFonts w:eastAsia="Calibri" w:cs="Times New Roman"/>
          <w:szCs w:val="24"/>
          <w:shd w:val="clear" w:color="auto" w:fill="FFFFFF"/>
        </w:rPr>
        <w:t xml:space="preserve">части 15 статьи 89 </w:t>
      </w:r>
      <w:hyperlink r:id="rId8" w:history="1">
        <w:r>
          <w:rPr>
            <w:rFonts w:eastAsia="Calibri" w:cs="Times New Roman"/>
            <w:spacing w:val="2"/>
            <w:szCs w:val="24"/>
          </w:rPr>
          <w:t>Федерального закона от 22.07.2008 №123-ФЗ «Технический регламент о требованиях пожарной безопасности</w:t>
        </w:r>
      </w:hyperlink>
      <w:r>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Calibri" w:cs="Times New Roman"/>
          <w:szCs w:val="24"/>
        </w:rPr>
      </w:pPr>
      <w:r>
        <w:rPr>
          <w:rFonts w:eastAsia="Calibri"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Calibri" w:cs="Times New Roman"/>
          <w:szCs w:val="24"/>
        </w:rPr>
      </w:pPr>
      <w:r>
        <w:rPr>
          <w:rFonts w:eastAsia="Calibri"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Calibri" w:cs="Times New Roman"/>
          <w:szCs w:val="24"/>
        </w:rPr>
      </w:pPr>
      <w:r>
        <w:rPr>
          <w:rFonts w:eastAsia="Calibri" w:cs="Times New Roman"/>
          <w:szCs w:val="24"/>
        </w:rPr>
        <w:t xml:space="preserve">5.2.2 На территории пункта приема должны иметься туалетные комнаты, оборудованные для посещения Получателями в соответствии с п. 5.22. </w:t>
      </w:r>
      <w:r>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Calibri" w:cs="Times New Roman"/>
          <w:spacing w:val="2"/>
          <w:szCs w:val="24"/>
          <w:shd w:val="clear" w:color="auto" w:fill="FFFFFF"/>
        </w:rPr>
        <w:t>6.3.9</w:t>
      </w:r>
      <w:r>
        <w:rPr>
          <w:rFonts w:eastAsia="Calibri" w:cs="Times New Roman"/>
          <w:szCs w:val="24"/>
        </w:rPr>
        <w:t xml:space="preserve"> СП 59.13330.2020.</w:t>
      </w:r>
    </w:p>
    <w:p>
      <w:pPr>
        <w:ind w:right="11"/>
        <w:jc w:val="both"/>
        <w:rPr>
          <w:rFonts w:eastAsia="Calibri" w:cs="Times New Roman"/>
          <w:color w:val="000000"/>
          <w:szCs w:val="24"/>
        </w:rPr>
      </w:pPr>
      <w:r>
        <w:rPr>
          <w:rFonts w:eastAsia="Calibri" w:cs="Times New Roman"/>
          <w:szCs w:val="24"/>
        </w:rPr>
        <w:t xml:space="preserve">5.2.3 </w:t>
      </w:r>
      <w:r>
        <w:rPr>
          <w:rFonts w:eastAsia="Calibri" w:cs="Times New Roman"/>
          <w:color w:val="000000"/>
          <w:szCs w:val="24"/>
        </w:rPr>
        <w:t xml:space="preserve">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Calibri" w:cs="Times New Roman"/>
          <w:color w:val="000000"/>
          <w:szCs w:val="24"/>
        </w:rPr>
      </w:pPr>
      <w:r>
        <w:rPr>
          <w:rFonts w:eastAsia="Calibri" w:cs="Times New Roman"/>
          <w:szCs w:val="24"/>
        </w:rPr>
        <w:t xml:space="preserve">5.2.4 </w:t>
      </w:r>
      <w:r>
        <w:rPr>
          <w:rFonts w:eastAsia="Calibri" w:cs="Times New Roman"/>
          <w:color w:val="000000"/>
          <w:szCs w:val="24"/>
        </w:rPr>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1"/>
        <w:jc w:val="both"/>
        <w:rPr>
          <w:rFonts w:eastAsia="Calibri" w:cs="Times New Roman"/>
          <w:color w:val="000000"/>
          <w:szCs w:val="24"/>
        </w:rPr>
      </w:pPr>
      <w:r>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Calibri" w:cs="Times New Roman"/>
          <w:color w:val="000000"/>
          <w:szCs w:val="24"/>
        </w:rPr>
      </w:pPr>
      <w:r>
        <w:rPr>
          <w:rFonts w:eastAsia="Calibri" w:cs="Times New Roman"/>
          <w:szCs w:val="24"/>
        </w:rPr>
        <w:t xml:space="preserve">5.2.5 </w:t>
      </w:r>
      <w:r>
        <w:rPr>
          <w:rFonts w:eastAsia="Calibri" w:cs="Times New Roman"/>
          <w:color w:val="000000"/>
          <w:szCs w:val="24"/>
        </w:rPr>
        <w:t>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беспрепятственного входа в объекты и выхода из них;</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Calibri" w:cs="Times New Roman"/>
          <w:color w:val="000000"/>
          <w:szCs w:val="24"/>
        </w:rPr>
        <w:t>ассистивных</w:t>
      </w:r>
      <w:proofErr w:type="spellEnd"/>
      <w:r>
        <w:rPr>
          <w:rFonts w:eastAsia="Calibri" w:cs="Times New Roman"/>
          <w:color w:val="000000"/>
          <w:szCs w:val="24"/>
        </w:rPr>
        <w:t xml:space="preserve"> и вспомогательных технологий, а также сменного кресла-коляски;</w:t>
      </w:r>
    </w:p>
    <w:p>
      <w:pPr>
        <w:numPr>
          <w:ilvl w:val="0"/>
          <w:numId w:val="3"/>
        </w:numPr>
        <w:ind w:right="11"/>
        <w:jc w:val="both"/>
        <w:rPr>
          <w:rFonts w:eastAsia="Calibri" w:cs="Times New Roman"/>
          <w:color w:val="000000"/>
          <w:szCs w:val="24"/>
        </w:rPr>
      </w:pPr>
      <w:r>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Calibri" w:cs="Times New Roman"/>
          <w:color w:val="000000"/>
          <w:szCs w:val="24"/>
        </w:rPr>
      </w:pPr>
      <w:r>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Calibri" w:cs="Times New Roman"/>
          <w:color w:val="000000"/>
          <w:szCs w:val="24"/>
        </w:rPr>
      </w:pPr>
      <w:r>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Pr>
            <w:rFonts w:eastAsia="Calibri" w:cs="Times New Roman"/>
            <w:color w:val="000000"/>
            <w:szCs w:val="24"/>
          </w:rPr>
          <w:t>форме</w:t>
        </w:r>
      </w:hyperlink>
      <w:r>
        <w:rPr>
          <w:rFonts w:eastAsia="Calibri" w:cs="Times New Roman"/>
          <w:color w:val="000000"/>
          <w:szCs w:val="24"/>
        </w:rPr>
        <w:t xml:space="preserve"> и в </w:t>
      </w:r>
      <w:hyperlink r:id="rId10" w:anchor="block_2000" w:history="1">
        <w:r>
          <w:rPr>
            <w:rFonts w:eastAsia="Calibri" w:cs="Times New Roman"/>
            <w:color w:val="000000"/>
            <w:szCs w:val="24"/>
          </w:rPr>
          <w:t>порядке</w:t>
        </w:r>
      </w:hyperlink>
      <w:r>
        <w:rPr>
          <w:rFonts w:eastAsia="Calibri" w:cs="Times New Roman"/>
          <w:color w:val="000000"/>
          <w:szCs w:val="24"/>
        </w:rPr>
        <w:t xml:space="preserve">, утвержденных </w:t>
      </w:r>
      <w:hyperlink r:id="rId11" w:history="1">
        <w:r>
          <w:rPr>
            <w:rFonts w:eastAsia="Calibri" w:cs="Times New Roman"/>
            <w:color w:val="000000"/>
            <w:szCs w:val="24"/>
          </w:rPr>
          <w:t>приказом</w:t>
        </w:r>
      </w:hyperlink>
      <w:r>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numPr>
          <w:ilvl w:val="0"/>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lastRenderedPageBreak/>
        <w:t>При получении Получателем Изделий по месту нахождения пункта (пунктов) приема, передача Изделий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 xml:space="preserve">Передача Изделий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час. </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При получении Получателем Изделий путем передачи Изделий по месту нахождения Получателя, такая доставка осуществляется Исполнителем в пределах Санкт-Петербурга, не менее чем с 10:00 до 21:00 час. не менее 6 (шести) дней в неделю, по предварительной записи по телефону, предоставленному Заказчику не позднее 1 (одного) рабочего дня со дня заключения контракта. Доставка осуществляется за счет средств Исполнителя.</w:t>
      </w:r>
    </w:p>
    <w:p>
      <w:pPr>
        <w:spacing w:after="3" w:line="249" w:lineRule="auto"/>
        <w:ind w:right="27" w:hanging="10"/>
        <w:jc w:val="both"/>
        <w:rPr>
          <w:rFonts w:eastAsia="Times New Roman" w:cs="Times New Roman"/>
          <w:color w:val="000000"/>
          <w:szCs w:val="22"/>
        </w:rPr>
      </w:pPr>
      <w:r>
        <w:rPr>
          <w:rFonts w:eastAsia="Times New Roman" w:cs="Times New Roman"/>
          <w:color w:val="000000"/>
          <w:szCs w:val="22"/>
        </w:rPr>
        <w:t>Исполнитель обязан информировать Заказчика о невозможности доставки Изделий Получателю не позднее рабочего дня, следующего за днем доставки, согласованным с Получателем.</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 xml:space="preserve">С целью подтверждения соответствия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w:t>
      </w:r>
      <w:proofErr w:type="spellStart"/>
      <w:r>
        <w:rPr>
          <w:rFonts w:eastAsia="Times New Roman" w:cs="Times New Roman"/>
          <w:color w:val="000000"/>
          <w:szCs w:val="22"/>
        </w:rPr>
        <w:t>фотофиксацию</w:t>
      </w:r>
      <w:proofErr w:type="spellEnd"/>
      <w:r>
        <w:rPr>
          <w:rFonts w:eastAsia="Times New Roman" w:cs="Times New Roman"/>
          <w:color w:val="000000"/>
          <w:szCs w:val="22"/>
        </w:rPr>
        <w:t xml:space="preserve"> и/или видеозапись.</w:t>
      </w:r>
    </w:p>
    <w:p>
      <w:pPr>
        <w:numPr>
          <w:ilvl w:val="1"/>
          <w:numId w:val="7"/>
        </w:numPr>
        <w:spacing w:after="3" w:line="249" w:lineRule="auto"/>
        <w:ind w:right="27"/>
        <w:jc w:val="both"/>
        <w:rPr>
          <w:rFonts w:eastAsia="Times New Roman" w:cs="Times New Roman"/>
          <w:color w:val="000000"/>
          <w:szCs w:val="22"/>
        </w:rPr>
      </w:pPr>
      <w:r>
        <w:rPr>
          <w:rFonts w:eastAsia="Times New Roman" w:cs="Times New Roman"/>
          <w:color w:val="000000"/>
          <w:szCs w:val="22"/>
        </w:rPr>
        <w:t>В случаях отказа от Изделий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w:t>
      </w:r>
    </w:p>
    <w:p>
      <w:pPr>
        <w:numPr>
          <w:ilvl w:val="0"/>
          <w:numId w:val="7"/>
        </w:numPr>
        <w:spacing w:after="3" w:line="249" w:lineRule="auto"/>
        <w:ind w:right="27"/>
        <w:jc w:val="both"/>
        <w:rPr>
          <w:rFonts w:eastAsia="Times New Roman" w:cs="Times New Roman"/>
          <w:b/>
          <w:szCs w:val="26"/>
        </w:rPr>
      </w:pPr>
      <w:r>
        <w:rPr>
          <w:rFonts w:eastAsia="Times New Roman" w:cs="Times New Roman"/>
          <w:color w:val="000000"/>
          <w:szCs w:val="22"/>
        </w:rPr>
        <w:t>При проведении экспертизы Изделий на соответствие их условиям технического задания, Исполнитель должен предоставить необходимое для проведении экспертизы количество Изделий. При этом предоставленное для экспертизы количество Изделий не входит в общий объем Изделий, предусмотренный техническим заданием.</w:t>
      </w:r>
    </w:p>
    <w:p/>
    <w:sectPr>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723E8F"/>
    <w:multiLevelType w:val="multilevel"/>
    <w:tmpl w:val="6520E2CC"/>
    <w:lvl w:ilvl="0">
      <w:start w:val="3"/>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
    <w:nsid w:val="3E0B780B"/>
    <w:multiLevelType w:val="hybridMultilevel"/>
    <w:tmpl w:val="2EA6EB36"/>
    <w:lvl w:ilvl="0" w:tplc="33162EBC">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AF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9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2D2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40A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695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8E0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1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A41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2E5AE5"/>
    <w:multiLevelType w:val="multilevel"/>
    <w:tmpl w:val="A4722376"/>
    <w:lvl w:ilvl="0">
      <w:start w:val="5"/>
      <w:numFmt w:val="decimal"/>
      <w:lvlText w:val="%1."/>
      <w:lvlJc w:val="left"/>
      <w:pPr>
        <w:ind w:left="360" w:hanging="360"/>
      </w:pPr>
      <w:rPr>
        <w:rFonts w:hint="default"/>
      </w:rPr>
    </w:lvl>
    <w:lvl w:ilvl="1">
      <w:start w:val="2"/>
      <w:numFmt w:val="decimal"/>
      <w:lvlText w:val="%1.%2."/>
      <w:lvlJc w:val="left"/>
      <w:pPr>
        <w:ind w:left="523" w:hanging="360"/>
      </w:pPr>
      <w:rPr>
        <w:rFonts w:hint="default"/>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4">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756169"/>
    <w:multiLevelType w:val="multilevel"/>
    <w:tmpl w:val="8F9E415A"/>
    <w:lvl w:ilvl="0">
      <w:start w:val="6"/>
      <w:numFmt w:val="decimal"/>
      <w:lvlText w:val="%1."/>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EDA78-2F45-4ACF-9640-C7EE8A0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4</cp:revision>
  <dcterms:created xsi:type="dcterms:W3CDTF">2024-02-15T07:39:00Z</dcterms:created>
  <dcterms:modified xsi:type="dcterms:W3CDTF">2024-02-21T16:06:00Z</dcterms:modified>
</cp:coreProperties>
</file>