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A3" w:rsidRDefault="00790FA3" w:rsidP="00790FA3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790FA3" w:rsidRDefault="00790FA3" w:rsidP="00790FA3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</w:t>
      </w:r>
      <w:r>
        <w:rPr>
          <w:rFonts w:eastAsia="Times New Roman CYR" w:cs="Times New Roman"/>
          <w:b/>
          <w:bCs/>
          <w:color w:val="000000"/>
          <w:sz w:val="20"/>
          <w:szCs w:val="20"/>
        </w:rPr>
        <w:t>Извещению</w:t>
      </w:r>
    </w:p>
    <w:p w:rsidR="00790FA3" w:rsidRDefault="00790FA3" w:rsidP="00790FA3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790FA3" w:rsidRDefault="00790FA3" w:rsidP="00790FA3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790FA3" w:rsidRDefault="00790FA3" w:rsidP="00790FA3">
      <w:pPr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790FA3" w:rsidRDefault="00790FA3" w:rsidP="00790FA3">
      <w:pPr>
        <w:autoSpaceDE w:val="0"/>
        <w:ind w:firstLine="708"/>
        <w:jc w:val="center"/>
      </w:pPr>
      <w:r>
        <w:rPr>
          <w:rFonts w:eastAsia="Times New Roman CYR" w:cs="Times New Roman"/>
          <w:b/>
          <w:bCs/>
          <w:sz w:val="20"/>
          <w:szCs w:val="20"/>
        </w:rPr>
        <w:t>на обеспечение инвалидов техническими средствами реабилитации в 2022 году.</w:t>
      </w:r>
    </w:p>
    <w:p w:rsidR="00790FA3" w:rsidRDefault="00790FA3" w:rsidP="00790FA3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790FA3" w:rsidRDefault="00790FA3" w:rsidP="00790FA3">
      <w:pPr>
        <w:pStyle w:val="Standard"/>
        <w:numPr>
          <w:ilvl w:val="0"/>
          <w:numId w:val="1"/>
        </w:numPr>
        <w:autoSpaceDE w:val="0"/>
        <w:ind w:left="0" w:firstLine="426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sz w:val="20"/>
          <w:szCs w:val="20"/>
        </w:rPr>
        <w:t>аукцион в электронной форме.</w:t>
      </w:r>
    </w:p>
    <w:p w:rsidR="00790FA3" w:rsidRDefault="00790FA3" w:rsidP="00790FA3">
      <w:pPr>
        <w:pStyle w:val="Standard"/>
        <w:numPr>
          <w:ilvl w:val="0"/>
          <w:numId w:val="1"/>
        </w:numPr>
        <w:autoSpaceDE w:val="0"/>
        <w:ind w:left="0" w:firstLine="426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п</w:t>
      </w:r>
      <w:r>
        <w:rPr>
          <w:rFonts w:cs="Times New Roman"/>
          <w:color w:val="000000"/>
          <w:sz w:val="20"/>
          <w:szCs w:val="20"/>
        </w:rPr>
        <w:t>оставка технических средств реабилитации инвалидам в 2022 году</w:t>
      </w:r>
      <w:r>
        <w:rPr>
          <w:rFonts w:eastAsia="Times New Roman CYR" w:cs="Times New Roman"/>
          <w:bCs/>
          <w:sz w:val="20"/>
          <w:szCs w:val="20"/>
        </w:rPr>
        <w:t xml:space="preserve">. </w:t>
      </w:r>
      <w:r>
        <w:rPr>
          <w:rFonts w:eastAsia="Times New Roman CYR" w:cs="Times New Roman"/>
          <w:b/>
          <w:bCs/>
          <w:sz w:val="20"/>
          <w:szCs w:val="20"/>
        </w:rPr>
        <w:t>Протезы нижних конечностей</w:t>
      </w:r>
    </w:p>
    <w:p w:rsidR="00790FA3" w:rsidRDefault="00790FA3" w:rsidP="00790FA3">
      <w:pPr>
        <w:pStyle w:val="Standard"/>
        <w:autoSpaceDE w:val="0"/>
        <w:ind w:left="426"/>
        <w:jc w:val="both"/>
        <w:rPr>
          <w:rFonts w:eastAsia="Times New Roman CYR" w:cs="Times New Roman"/>
          <w:b/>
          <w:bCs/>
          <w:sz w:val="20"/>
          <w:szCs w:val="20"/>
        </w:rPr>
      </w:pPr>
    </w:p>
    <w:tbl>
      <w:tblPr>
        <w:tblW w:w="978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4910"/>
        <w:gridCol w:w="1185"/>
        <w:gridCol w:w="709"/>
        <w:gridCol w:w="1276"/>
      </w:tblGrid>
      <w:tr w:rsidR="00790FA3" w:rsidTr="00790FA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FA3" w:rsidRDefault="00790FA3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FA3" w:rsidRDefault="00790FA3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FA3" w:rsidRDefault="00790FA3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FA3" w:rsidRDefault="00790FA3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Кол-во,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FA3" w:rsidRDefault="00790FA3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790FA3" w:rsidTr="00790FA3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A3" w:rsidRDefault="00790FA3">
            <w:pPr>
              <w:jc w:val="both"/>
              <w:rPr>
                <w:rFonts w:cs="Times New Roman"/>
                <w:b/>
                <w:kern w:val="0"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eastAsia="ar-SA"/>
              </w:rPr>
              <w:t>Протез голени для купания</w:t>
            </w:r>
          </w:p>
          <w:p w:rsidR="00790FA3" w:rsidRDefault="00790FA3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A3" w:rsidRDefault="00790FA3">
            <w:pPr>
              <w:jc w:val="both"/>
            </w:pPr>
            <w:r>
              <w:rPr>
                <w:b/>
                <w:sz w:val="20"/>
                <w:szCs w:val="20"/>
              </w:rPr>
              <w:t>Протез голени для купания</w:t>
            </w:r>
            <w:r>
              <w:rPr>
                <w:sz w:val="20"/>
                <w:szCs w:val="20"/>
              </w:rPr>
              <w:t>:</w:t>
            </w:r>
          </w:p>
          <w:p w:rsidR="00790FA3" w:rsidRDefault="00790FA3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Приемная гильза индивидуального изготовления по слепку с конечности пациента. Материал постоянной гильзы – литьевой слоистый пластик на основе акриловых смол. Изготовление пробных гильз из термопласта. Крепление за счет формы приемной гильзы и вспомогательных элементов крепления – ленты </w:t>
            </w:r>
            <w:proofErr w:type="spellStart"/>
            <w:r>
              <w:rPr>
                <w:color w:val="000000"/>
                <w:sz w:val="20"/>
                <w:szCs w:val="20"/>
              </w:rPr>
              <w:t>велкро</w:t>
            </w:r>
            <w:proofErr w:type="spellEnd"/>
            <w:r>
              <w:rPr>
                <w:color w:val="000000"/>
                <w:sz w:val="20"/>
                <w:szCs w:val="20"/>
              </w:rPr>
              <w:t>. Регулировочно-соединительные устройства соответствуют весовым и нагрузочным параметрам пациента и являются влагозащищенными. Стопа низкопрофильная из углепластика с расщепленной носочной частью, отведенным первым пальцем, с взаимозаменяемыми пяточными клиньями, с титановой пирамидкой с водоотводящими каналами, препятствующими скоплению воды в несущем модуле, с дренажными отверстиями в косметической оболочке стопы. Косметическая облицовка – модульная полужесткая. Без покрытия косметической оболочки.</w:t>
            </w:r>
          </w:p>
          <w:p w:rsidR="00790FA3" w:rsidRDefault="00790FA3">
            <w:pPr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FA3" w:rsidRDefault="00790FA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555 833,33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FA3" w:rsidRDefault="00790FA3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FA3" w:rsidRDefault="00790FA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555 833,33</w:t>
            </w:r>
          </w:p>
        </w:tc>
      </w:tr>
      <w:tr w:rsidR="00790FA3" w:rsidTr="00790FA3">
        <w:trPr>
          <w:trHeight w:val="126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A3" w:rsidRDefault="00790FA3">
            <w:pPr>
              <w:rPr>
                <w:rFonts w:cs="Times New Roman"/>
                <w:b/>
                <w:kern w:val="0"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eastAsia="ar-SA"/>
              </w:rPr>
              <w:t>Протез голени модульный, в том числе при недоразвитии</w:t>
            </w:r>
          </w:p>
          <w:p w:rsidR="00790FA3" w:rsidRDefault="00790FA3">
            <w:pPr>
              <w:pStyle w:val="Standard"/>
              <w:keepNext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FA3" w:rsidRDefault="00790FA3">
            <w:pPr>
              <w:jc w:val="both"/>
            </w:pPr>
            <w:r>
              <w:rPr>
                <w:b/>
                <w:sz w:val="20"/>
                <w:szCs w:val="20"/>
              </w:rPr>
              <w:t>Протез голени модульный, в том числе при недоразвитии</w:t>
            </w:r>
            <w:r>
              <w:rPr>
                <w:sz w:val="20"/>
                <w:szCs w:val="20"/>
              </w:rPr>
              <w:t>:</w:t>
            </w:r>
          </w:p>
          <w:p w:rsidR="00790FA3" w:rsidRDefault="00790FA3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Приемная гильза индивидуального изготовления по слепку с конечности пациента. Материал постоянной гильзы – литьевой слоистый пластик на основе акриловых смол. Изготовление пробных гильз из термопласта. </w:t>
            </w:r>
            <w:r>
              <w:rPr>
                <w:sz w:val="20"/>
                <w:szCs w:val="20"/>
              </w:rPr>
              <w:t xml:space="preserve">Крепление за счет формы приемной гильзы и вспомогательных элементов крепления – ленты </w:t>
            </w:r>
            <w:proofErr w:type="spellStart"/>
            <w:r>
              <w:rPr>
                <w:sz w:val="20"/>
                <w:szCs w:val="20"/>
              </w:rPr>
              <w:t>велкро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Регулировочно-соединительные устройства соответствуют весовым и нагрузочным параметрам пациента. Стопа из углепластика с расщепленной носочной частью, отведенным первым пальцем, с титановой пирамидкой, имеет торсионный M-L модуль с боковыми ограничивающими бамперами, влагозащищенная. Косметическая облицовка – модульная полужесткая. Покрытие косметической оболочки – чулки ортопедические </w:t>
            </w:r>
            <w:proofErr w:type="spellStart"/>
            <w:r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FA3" w:rsidRDefault="00790FA3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612 900,00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FA3" w:rsidRDefault="00790FA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FA3" w:rsidRDefault="00790FA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612 900,00</w:t>
            </w:r>
          </w:p>
        </w:tc>
      </w:tr>
      <w:tr w:rsidR="00790FA3" w:rsidTr="00790FA3"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A3" w:rsidRDefault="00790FA3">
            <w:pPr>
              <w:keepNext/>
              <w:snapToGrid w:val="0"/>
              <w:jc w:val="both"/>
            </w:pPr>
          </w:p>
        </w:tc>
      </w:tr>
      <w:tr w:rsidR="00790FA3" w:rsidTr="00790FA3">
        <w:trPr>
          <w:cantSplit/>
          <w:trHeight w:val="196"/>
        </w:trPr>
        <w:tc>
          <w:tcPr>
            <w:tcW w:w="6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FA3" w:rsidRDefault="00790FA3">
            <w:pPr>
              <w:pStyle w:val="Standard"/>
              <w:keepNext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FA3" w:rsidRDefault="00790FA3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A3" w:rsidRDefault="00790FA3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FA3" w:rsidRDefault="00790FA3">
            <w:pPr>
              <w:pStyle w:val="Standard"/>
              <w:tabs>
                <w:tab w:val="left" w:pos="232"/>
              </w:tabs>
              <w:snapToGrid w:val="0"/>
              <w:ind w:right="-2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1 168 733,33</w:t>
            </w:r>
          </w:p>
        </w:tc>
      </w:tr>
    </w:tbl>
    <w:p w:rsidR="00790FA3" w:rsidRDefault="00790FA3" w:rsidP="00790FA3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"/>
          <w:sz w:val="20"/>
          <w:szCs w:val="20"/>
        </w:rPr>
        <w:t>: федеральный бюджет.</w:t>
      </w:r>
    </w:p>
    <w:p w:rsidR="00790FA3" w:rsidRDefault="00790FA3" w:rsidP="00790FA3">
      <w:pPr>
        <w:pStyle w:val="Standard"/>
        <w:numPr>
          <w:ilvl w:val="0"/>
          <w:numId w:val="2"/>
        </w:numPr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1 168 733 </w:t>
      </w:r>
      <w:r>
        <w:rPr>
          <w:rFonts w:eastAsia="Times New Roman CYR" w:cs="Times New Roman"/>
          <w:sz w:val="20"/>
          <w:szCs w:val="20"/>
        </w:rPr>
        <w:t>рубля</w:t>
      </w:r>
      <w:r>
        <w:rPr>
          <w:rFonts w:eastAsia="Times New Roman CYR" w:cs="Times New Roman"/>
          <w:b/>
          <w:bCs/>
          <w:sz w:val="20"/>
          <w:szCs w:val="20"/>
        </w:rPr>
        <w:t xml:space="preserve"> 33 </w:t>
      </w:r>
      <w:r>
        <w:rPr>
          <w:rFonts w:eastAsia="Times New Roman CYR" w:cs="Times New Roman"/>
          <w:bCs/>
          <w:sz w:val="20"/>
          <w:szCs w:val="20"/>
        </w:rPr>
        <w:t>копейки</w:t>
      </w:r>
    </w:p>
    <w:p w:rsidR="00790FA3" w:rsidRDefault="00790FA3" w:rsidP="00790FA3">
      <w:pPr>
        <w:pStyle w:val="Standard"/>
        <w:numPr>
          <w:ilvl w:val="0"/>
          <w:numId w:val="2"/>
        </w:numPr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790FA3" w:rsidRDefault="00790FA3" w:rsidP="00790FA3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eastAsia="Times New Roman CYR" w:cs="Times New Roman"/>
          <w:b/>
          <w:bCs/>
          <w:i/>
          <w:iCs/>
          <w:sz w:val="20"/>
          <w:szCs w:val="20"/>
        </w:rPr>
        <w:t>протез нижних конечностей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790FA3" w:rsidRDefault="00790FA3" w:rsidP="00790FA3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b/>
          <w:sz w:val="20"/>
          <w:szCs w:val="20"/>
        </w:rPr>
        <w:lastRenderedPageBreak/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>протезируемой (</w:t>
      </w:r>
      <w:proofErr w:type="spellStart"/>
      <w:r>
        <w:rPr>
          <w:rFonts w:cs="Times New Roman"/>
          <w:color w:val="000000"/>
          <w:sz w:val="20"/>
          <w:szCs w:val="20"/>
        </w:rPr>
        <w:t>ортезируемой</w:t>
      </w:r>
      <w:proofErr w:type="spellEnd"/>
      <w:r>
        <w:rPr>
          <w:rFonts w:cs="Times New Roman"/>
          <w:color w:val="000000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«Москва».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позднее «</w:t>
      </w:r>
      <w:r>
        <w:rPr>
          <w:rFonts w:cs="Times New Roman"/>
          <w:sz w:val="20"/>
          <w:szCs w:val="20"/>
        </w:rPr>
        <w:t>0</w:t>
      </w:r>
      <w:bookmarkStart w:id="0" w:name="_GoBack"/>
      <w:bookmarkEnd w:id="0"/>
      <w:r>
        <w:rPr>
          <w:rFonts w:cs="Times New Roman"/>
          <w:sz w:val="20"/>
          <w:szCs w:val="20"/>
        </w:rPr>
        <w:t>9» декабря 2022 года.</w:t>
      </w:r>
    </w:p>
    <w:p w:rsidR="00790FA3" w:rsidRDefault="00790FA3" w:rsidP="00790FA3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 xml:space="preserve">оплата производится Заказчиком по безналичному расчету в течение 7 (семи) рабочих дней с даты предоставления Исполнителем </w:t>
      </w:r>
      <w:r>
        <w:rPr>
          <w:rFonts w:cs="Times New Roman"/>
          <w:color w:val="000000"/>
          <w:sz w:val="20"/>
          <w:szCs w:val="20"/>
        </w:rPr>
        <w:t>подписанного Сторонами, актов приема-передачи Изделия, реестра выполненных работ, акта выполненных работ, отрывного талона к направлению, а также счета на оплату.</w:t>
      </w:r>
    </w:p>
    <w:p w:rsidR="00790FA3" w:rsidRDefault="00790FA3" w:rsidP="00790FA3">
      <w:pPr>
        <w:pStyle w:val="Standard"/>
        <w:numPr>
          <w:ilvl w:val="0"/>
          <w:numId w:val="2"/>
        </w:numPr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790FA3" w:rsidRDefault="00790FA3" w:rsidP="00790FA3">
      <w:pPr>
        <w:pStyle w:val="Standard"/>
        <w:numPr>
          <w:ilvl w:val="0"/>
          <w:numId w:val="2"/>
        </w:numPr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 xml:space="preserve"> 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790FA3" w:rsidRDefault="00790FA3" w:rsidP="00790FA3">
      <w:pPr>
        <w:pStyle w:val="Standard"/>
        <w:numPr>
          <w:ilvl w:val="0"/>
          <w:numId w:val="2"/>
        </w:numPr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 xml:space="preserve"> </w:t>
      </w: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790FA3" w:rsidRDefault="00790FA3" w:rsidP="00790FA3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B9282E" w:rsidRDefault="00790FA3"/>
    <w:sectPr w:rsidR="00B9282E" w:rsidSect="0079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5435"/>
    <w:multiLevelType w:val="multilevel"/>
    <w:tmpl w:val="984E5DC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/>
        <w:bCs/>
        <w:sz w:val="20"/>
        <w:szCs w:val="20"/>
      </w:rPr>
    </w:lvl>
  </w:abstractNum>
  <w:abstractNum w:abstractNumId="1">
    <w:nsid w:val="427F4C34"/>
    <w:multiLevelType w:val="multilevel"/>
    <w:tmpl w:val="7188E326"/>
    <w:lvl w:ilvl="0">
      <w:start w:val="1"/>
      <w:numFmt w:val="decimal"/>
      <w:lvlText w:val="%1."/>
      <w:lvlJc w:val="left"/>
      <w:pPr>
        <w:ind w:left="1287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A5"/>
    <w:rsid w:val="000B42B5"/>
    <w:rsid w:val="00181AA5"/>
    <w:rsid w:val="0074413A"/>
    <w:rsid w:val="007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BF8BD-2B4D-416D-BEC1-30AABC83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A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0FA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2022-05-30T06:37:00Z</dcterms:created>
  <dcterms:modified xsi:type="dcterms:W3CDTF">2022-05-30T06:38:00Z</dcterms:modified>
</cp:coreProperties>
</file>