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50" w:rsidRPr="00974850" w:rsidRDefault="00974850" w:rsidP="00974850">
      <w:pPr>
        <w:keepNext/>
        <w:keepLines/>
        <w:tabs>
          <w:tab w:val="center" w:pos="4677"/>
          <w:tab w:val="center" w:pos="6379"/>
          <w:tab w:val="left" w:pos="8085"/>
          <w:tab w:val="right" w:pos="935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pacing w:val="-1"/>
          <w:lang w:eastAsia="ru-RU"/>
        </w:rPr>
      </w:pPr>
      <w:r w:rsidRPr="00974850">
        <w:rPr>
          <w:rFonts w:ascii="Times New Roman" w:eastAsia="Times New Roman" w:hAnsi="Times New Roman" w:cs="Times New Roman"/>
          <w:i/>
          <w:spacing w:val="-1"/>
          <w:lang w:eastAsia="ru-RU"/>
        </w:rPr>
        <w:t xml:space="preserve">Приложение 1 </w:t>
      </w:r>
    </w:p>
    <w:p w:rsidR="00974850" w:rsidRPr="00974850" w:rsidRDefault="00974850" w:rsidP="00974850">
      <w:pPr>
        <w:keepNext/>
        <w:keepLines/>
        <w:tabs>
          <w:tab w:val="center" w:pos="4677"/>
          <w:tab w:val="center" w:pos="6379"/>
          <w:tab w:val="left" w:pos="8085"/>
          <w:tab w:val="right" w:pos="935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pacing w:val="-1"/>
          <w:lang w:eastAsia="ru-RU"/>
        </w:rPr>
      </w:pPr>
      <w:r w:rsidRPr="00974850">
        <w:rPr>
          <w:rFonts w:ascii="Times New Roman" w:eastAsia="Times New Roman" w:hAnsi="Times New Roman" w:cs="Times New Roman"/>
          <w:i/>
          <w:spacing w:val="-1"/>
          <w:lang w:eastAsia="ru-RU"/>
        </w:rPr>
        <w:t>к извещению об осуществлении закупки</w:t>
      </w:r>
    </w:p>
    <w:p w:rsidR="00974850" w:rsidRDefault="00974850" w:rsidP="00974850">
      <w:pPr>
        <w:keepNext/>
        <w:keepLines/>
        <w:tabs>
          <w:tab w:val="center" w:pos="4677"/>
          <w:tab w:val="center" w:pos="6379"/>
          <w:tab w:val="left" w:pos="8085"/>
          <w:tab w:val="right" w:pos="935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974850" w:rsidRPr="00974850" w:rsidRDefault="00974850" w:rsidP="00974850">
      <w:pPr>
        <w:keepNext/>
        <w:keepLines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  <w:r w:rsidRPr="009748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 соответствии со статьей 33 Закона № 44-ФЗ  </w:t>
      </w:r>
    </w:p>
    <w:p w:rsidR="00974850" w:rsidRPr="00974850" w:rsidRDefault="00974850" w:rsidP="00974850">
      <w:pPr>
        <w:keepNext/>
        <w:keepLines/>
        <w:tabs>
          <w:tab w:val="left" w:pos="7655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поставку </w:t>
      </w:r>
      <w:r w:rsidRPr="00974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инвалиду в 2023 году слуховых аппаратов костной проводимости (</w:t>
      </w:r>
      <w:proofErr w:type="spellStart"/>
      <w:r w:rsidRPr="00974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неимплантируемых</w:t>
      </w:r>
      <w:proofErr w:type="spellEnd"/>
      <w:r w:rsidRPr="00974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74850" w:rsidRDefault="00974850" w:rsidP="00974850">
      <w:pPr>
        <w:keepNext/>
        <w:keepLines/>
        <w:tabs>
          <w:tab w:val="center" w:pos="4677"/>
          <w:tab w:val="center" w:pos="6379"/>
          <w:tab w:val="left" w:pos="8085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974850" w:rsidRPr="00974850" w:rsidRDefault="00974850" w:rsidP="00974850">
      <w:pPr>
        <w:keepNext/>
        <w:keepLines/>
        <w:tabs>
          <w:tab w:val="center" w:pos="4677"/>
          <w:tab w:val="center" w:pos="6379"/>
          <w:tab w:val="left" w:pos="8085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48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Слуховые аппараты – это электроакустические звукоусиливающие устройства, носимые человеком и предназначенные для компенсации ограничений жизнедеятельности.</w:t>
      </w:r>
    </w:p>
    <w:p w:rsidR="00974850" w:rsidRPr="00974850" w:rsidRDefault="00974850" w:rsidP="0097485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485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Общие требования к слуховым аппаратам, реализуемым на территории Российской Федерации, устанавливаются в соответствии с ГОСТ Р 51024-2012 «Аппараты слуховые электронные реабилитационные. Технические требования и методы испытаний».</w:t>
      </w:r>
      <w:r w:rsidRPr="00974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4850" w:rsidRPr="00974850" w:rsidRDefault="00974850" w:rsidP="0097485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4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Общие требования к слуховым аппаратам устанавливаются в соответствии с: </w:t>
      </w:r>
    </w:p>
    <w:p w:rsidR="00974850" w:rsidRPr="00974850" w:rsidRDefault="00974850" w:rsidP="0097485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4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ГОСТ Р ИСО 9999-2019 «Вспомогательные средства для людей с ограничениями жизнедеятельности. Классификация и терминология», </w:t>
      </w:r>
    </w:p>
    <w:p w:rsidR="00974850" w:rsidRPr="00974850" w:rsidRDefault="00974850" w:rsidP="0097485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4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ГОСТ Р 50444-2020 «Приборы, аппараты и оборудование медицинские. Общие технические условия», </w:t>
      </w:r>
    </w:p>
    <w:p w:rsidR="00974850" w:rsidRPr="00974850" w:rsidRDefault="00974850" w:rsidP="0097485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4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ГОСТ Р 52770-2016 «Изделия медицинские. Требования безопасности. Методы санитарно-химических и токсикологических испытаний»,</w:t>
      </w:r>
    </w:p>
    <w:p w:rsidR="00974850" w:rsidRPr="00974850" w:rsidRDefault="00974850" w:rsidP="0097485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974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ГОСТ Р МЭК 60118-7-2013 Национальный стандарт Российской Федерации. Электроакустика. Аппараты слуховые. Часть 7. Измерение рабочих характеристик слуховых аппаратов для обеспечения качества при производстве и поставке»,</w:t>
      </w:r>
    </w:p>
    <w:p w:rsidR="00974850" w:rsidRPr="00974850" w:rsidRDefault="00974850" w:rsidP="0097485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4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соединителей». </w:t>
      </w:r>
    </w:p>
    <w:p w:rsidR="00974850" w:rsidRPr="00974850" w:rsidRDefault="00974850" w:rsidP="00974850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48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Сырье и материалы для изготовления слухового аппарата должны соответствовать требованиям биологической безопасности по ГОСТ </w:t>
      </w:r>
      <w:r w:rsidRPr="0097485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ISO</w:t>
      </w:r>
      <w:r w:rsidRPr="009748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10993-1-2021, ГОСТ </w:t>
      </w:r>
      <w:r w:rsidRPr="0097485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ISO</w:t>
      </w:r>
      <w:r w:rsidRPr="009748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10993-5-2011, ГОСТ </w:t>
      </w:r>
      <w:r w:rsidRPr="0097485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ISO</w:t>
      </w:r>
      <w:r w:rsidRPr="009748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10993-10-2011, ГОСТ Р 52770-2016.</w:t>
      </w:r>
    </w:p>
    <w:p w:rsidR="00974850" w:rsidRPr="00974850" w:rsidRDefault="00974850" w:rsidP="00974850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74850" w:rsidRPr="00974850" w:rsidRDefault="00974850" w:rsidP="00974850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97485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Соответствие требованиям к настройке товара.</w:t>
      </w:r>
    </w:p>
    <w:p w:rsidR="00974850" w:rsidRPr="00974850" w:rsidRDefault="00974850" w:rsidP="0097485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4850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При </w:t>
      </w:r>
      <w:r w:rsidRPr="00974850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передаче инвалиду слухового аппарата в обязательном порядке должна производиться индивидуальная подборка и настройка изделия в специализированном учреждении, оказывающем услуги по подбору и настройке изделия. Должен быть обеспечен инструктаж Получателя и консультативная помощь по правильному пользованию Товаром.  В течение срока пользования слуховым аппаратом при необходимости должна быть произведена корректирующая настройка.</w:t>
      </w:r>
    </w:p>
    <w:p w:rsidR="00974850" w:rsidRPr="00974850" w:rsidRDefault="00974850" w:rsidP="0097485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48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Обслуживание инвалидов (прием, примерка, подборка, настройка, выдача и прочее) должна производиться по месту нахождения пунктов выдачи на территории г. Смоленска (Смоленской области), открытых поставщиком на территории организации, имеющей медицинскую лицензию по оказанию специализированной медицинской помощи, включающей работы (услуги) по </w:t>
      </w:r>
      <w:proofErr w:type="spellStart"/>
      <w:r w:rsidRPr="00974850">
        <w:rPr>
          <w:rFonts w:ascii="Times New Roman" w:eastAsia="Times New Roman" w:hAnsi="Times New Roman" w:cs="Times New Roman"/>
          <w:sz w:val="24"/>
          <w:szCs w:val="24"/>
          <w:lang w:eastAsia="zh-CN"/>
        </w:rPr>
        <w:t>сурдологии</w:t>
      </w:r>
      <w:proofErr w:type="spellEnd"/>
      <w:r w:rsidRPr="00974850">
        <w:rPr>
          <w:rFonts w:ascii="Times New Roman" w:eastAsia="Times New Roman" w:hAnsi="Times New Roman" w:cs="Times New Roman"/>
          <w:sz w:val="24"/>
          <w:szCs w:val="24"/>
          <w:lang w:eastAsia="zh-CN"/>
        </w:rPr>
        <w:t>-оториноларингологии, которая будет производить настройку слухового аппарата.</w:t>
      </w:r>
    </w:p>
    <w:p w:rsidR="00974850" w:rsidRPr="00974850" w:rsidRDefault="00974850" w:rsidP="00974850">
      <w:pPr>
        <w:keepNext/>
        <w:keepLine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48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Настройка слухового аппарата должна производиться при наличии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974850">
        <w:rPr>
          <w:rFonts w:ascii="Times New Roman" w:eastAsia="Times New Roman" w:hAnsi="Times New Roman" w:cs="Times New Roman"/>
          <w:sz w:val="24"/>
          <w:szCs w:val="24"/>
          <w:lang w:eastAsia="zh-CN"/>
        </w:rPr>
        <w:t>сурдологии</w:t>
      </w:r>
      <w:proofErr w:type="spellEnd"/>
      <w:r w:rsidRPr="00974850">
        <w:rPr>
          <w:rFonts w:ascii="Times New Roman" w:eastAsia="Times New Roman" w:hAnsi="Times New Roman" w:cs="Times New Roman"/>
          <w:sz w:val="24"/>
          <w:szCs w:val="24"/>
          <w:lang w:eastAsia="zh-CN"/>
        </w:rPr>
        <w:t>-оториноларингологии.</w:t>
      </w:r>
    </w:p>
    <w:p w:rsidR="00974850" w:rsidRPr="00974850" w:rsidRDefault="00974850" w:rsidP="00974850">
      <w:pPr>
        <w:keepNext/>
        <w:keepLines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97485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Соответствие требованиям к безопасности товара.</w:t>
      </w:r>
    </w:p>
    <w:p w:rsidR="00974850" w:rsidRPr="00974850" w:rsidRDefault="00974850" w:rsidP="00974850">
      <w:pPr>
        <w:keepNext/>
        <w:keepLines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74850" w:rsidRPr="00974850" w:rsidRDefault="00974850" w:rsidP="0097485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наличие декларации о соответствии и регистрационного удостоверения Федеральной службы по надзору в сфере здравоохранения на поставляемые слуховые аппараты (на изделия медицинского назначения, подлежащие обязательной регистрации Федеральной службой по надзору в сфере здравоохранения) свидетельствующих о качестве и безопасности Товара, предусмотренных действующим законодательством Российской Федерации, при поступлении Товара на склад.</w:t>
      </w:r>
    </w:p>
    <w:p w:rsidR="00974850" w:rsidRPr="00974850" w:rsidRDefault="00974850" w:rsidP="00974850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97485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lastRenderedPageBreak/>
        <w:t>Соответствие требованиям к упаковке и транспортировке товара.</w:t>
      </w:r>
    </w:p>
    <w:p w:rsidR="00974850" w:rsidRPr="00974850" w:rsidRDefault="00974850" w:rsidP="00974850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слуховых аппаратов должна обеспечивать защиту от повреждений, порчи (изнашивания) и загрязнения во время хранения и транспортирования к месту пользования по назначению.</w:t>
      </w:r>
    </w:p>
    <w:p w:rsidR="00974850" w:rsidRPr="00974850" w:rsidRDefault="00974850" w:rsidP="00974850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r w:rsidRPr="00974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Потребительская тара с упакованными слуховыми аппаратами, должна быть перевязана шпагатом по ГОСТ 17308-88 или оклеена бумажной лентой по ГОСТ 18510-87, клеевой лентой на бумажной основе по ГОСТ 18251-87.</w:t>
      </w:r>
    </w:p>
    <w:p w:rsidR="00974850" w:rsidRPr="00974850" w:rsidRDefault="00974850" w:rsidP="00974850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Транспортирование любым видом крытого транспорта в соответствии с правилами перевозки грузов, действующими на данном виде транспорта.</w:t>
      </w:r>
    </w:p>
    <w:p w:rsidR="00974850" w:rsidRPr="00974850" w:rsidRDefault="00974850" w:rsidP="00974850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974850" w:rsidRPr="00974850" w:rsidRDefault="00974850" w:rsidP="00974850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97485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Сроки предоставления гарантии качества товара.</w:t>
      </w:r>
    </w:p>
    <w:p w:rsidR="00974850" w:rsidRPr="00974850" w:rsidRDefault="00974850" w:rsidP="00974850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748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Поставщик должен гарантировать, что Товар, поставляемый в рамках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974850" w:rsidRPr="00974850" w:rsidRDefault="00974850" w:rsidP="00974850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товара должен быть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</w:t>
      </w:r>
      <w:r w:rsidRPr="0097485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гарантийного ремонта со дня обращения инвалида не должен превышать 30 дней. Наличие гарантийных талонов, дающих право на бесплатный ремонт изделия во время гарантийного срока пользования.</w:t>
      </w:r>
    </w:p>
    <w:p w:rsidR="00974850" w:rsidRDefault="00974850" w:rsidP="00974850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указание в Акте о приемке Товара Получателем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974850" w:rsidRPr="00974850" w:rsidRDefault="00974850" w:rsidP="00974850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4850">
        <w:rPr>
          <w:rFonts w:ascii="Times New Roman" w:eastAsia="Arial Unicode MS" w:hAnsi="Times New Roman" w:cs="Times New Roman"/>
          <w:b/>
          <w:sz w:val="24"/>
          <w:szCs w:val="24"/>
        </w:rPr>
        <w:t>Срок поставки товара до получателя</w:t>
      </w:r>
      <w:r w:rsidRPr="00974850">
        <w:rPr>
          <w:rFonts w:ascii="Times New Roman" w:eastAsia="Arial Unicode MS" w:hAnsi="Times New Roman" w:cs="Times New Roman"/>
          <w:sz w:val="24"/>
          <w:szCs w:val="24"/>
        </w:rPr>
        <w:t xml:space="preserve"> с даты получения от Заказчика реестра получателей Товара до 31.05.2023 года (включительно).</w:t>
      </w:r>
      <w:bookmarkStart w:id="0" w:name="_GoBack"/>
      <w:bookmarkEnd w:id="0"/>
    </w:p>
    <w:p w:rsidR="00974850" w:rsidRPr="00974850" w:rsidRDefault="00974850" w:rsidP="00974850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50">
        <w:rPr>
          <w:rFonts w:ascii="Times New Roman" w:hAnsi="Times New Roman" w:cs="Times New Roman"/>
          <w:b/>
          <w:bCs/>
          <w:sz w:val="24"/>
          <w:szCs w:val="24"/>
        </w:rPr>
        <w:t xml:space="preserve">Субъект РФ (место поставки): </w:t>
      </w:r>
      <w:r w:rsidRPr="00974850">
        <w:rPr>
          <w:rFonts w:ascii="Times New Roman" w:hAnsi="Times New Roman" w:cs="Times New Roman"/>
          <w:bCs/>
          <w:sz w:val="24"/>
          <w:szCs w:val="24"/>
        </w:rPr>
        <w:t>г. Смоленск, Смоленская область.</w:t>
      </w:r>
    </w:p>
    <w:p w:rsidR="00974850" w:rsidRPr="00974850" w:rsidRDefault="00974850" w:rsidP="00974850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567"/>
        <w:gridCol w:w="1558"/>
        <w:gridCol w:w="488"/>
        <w:gridCol w:w="646"/>
        <w:gridCol w:w="838"/>
        <w:gridCol w:w="2420"/>
        <w:gridCol w:w="1168"/>
      </w:tblGrid>
      <w:tr w:rsidR="00974850" w:rsidRPr="00974850" w:rsidTr="0097485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keepNext/>
              <w:keepLines/>
              <w:tabs>
                <w:tab w:val="left" w:pos="975"/>
              </w:tabs>
              <w:suppressAutoHyphens/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9748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tabs>
                <w:tab w:val="left" w:pos="975"/>
              </w:tabs>
              <w:suppressAutoHyphens/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48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товара, работы, услуги по КТРУ (при наличии)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tabs>
                <w:tab w:val="left" w:pos="975"/>
              </w:tabs>
              <w:suppressAutoHyphens/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48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Код позиции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tabs>
                <w:tab w:val="left" w:pos="975"/>
              </w:tabs>
              <w:suppressAutoHyphens/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48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Номер вида технического средства реабилитации (изделия) и его наименования в соответствии с Классификацией технических средств реабилитации (изделий)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suppressAutoHyphens/>
              <w:snapToGrid w:val="0"/>
              <w:spacing w:after="0" w:line="240" w:lineRule="auto"/>
              <w:ind w:left="-108" w:right="-4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4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ОКПД 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suppressAutoHyphens/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4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Кол-во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tabs>
                <w:tab w:val="left" w:pos="975"/>
              </w:tabs>
              <w:suppressAutoHyphens/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4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Ед. изм.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tabs>
                <w:tab w:val="left" w:pos="975"/>
              </w:tabs>
              <w:suppressAutoHyphens/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4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Наименование характеристики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keepNext/>
              <w:keepLines/>
              <w:tabs>
                <w:tab w:val="left" w:pos="975"/>
              </w:tabs>
              <w:suppressAutoHyphens/>
              <w:spacing w:after="0" w:line="240" w:lineRule="auto"/>
              <w:ind w:right="-142"/>
              <w:contextualSpacing/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974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Значение характеристики</w:t>
            </w:r>
          </w:p>
        </w:tc>
      </w:tr>
      <w:tr w:rsidR="00974850" w:rsidRPr="00974850" w:rsidTr="00974850">
        <w:trPr>
          <w:trHeight w:val="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</w:pPr>
            <w:r w:rsidRPr="00974850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suppressAutoHyphens/>
              <w:spacing w:after="0" w:line="240" w:lineRule="auto"/>
              <w:ind w:left="-69" w:right="-1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748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Аппарат слуховой костной проводимости с креплением на голове, не имплантируемый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suppressAutoHyphens/>
              <w:spacing w:after="0" w:line="240" w:lineRule="auto"/>
              <w:ind w:left="-69" w:right="-1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748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26.60.14.120-00000006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suppressAutoHyphens/>
              <w:spacing w:after="0" w:line="240" w:lineRule="auto"/>
              <w:ind w:left="-69" w:right="-1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748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17-01-15 - Слуховой аппарат костной проводимости (</w:t>
            </w:r>
            <w:proofErr w:type="spellStart"/>
            <w:r w:rsidRPr="009748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неимплантируемый</w:t>
            </w:r>
            <w:proofErr w:type="spellEnd"/>
            <w:r w:rsidRPr="009748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suppressAutoHyphens/>
              <w:spacing w:after="0" w:line="240" w:lineRule="auto"/>
              <w:ind w:left="-69" w:right="-1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748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26.60.14.120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suppressAutoHyphens/>
              <w:spacing w:after="0" w:line="240" w:lineRule="auto"/>
              <w:ind w:left="-69" w:right="-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748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suppressAutoHyphens/>
              <w:spacing w:after="0" w:line="240" w:lineRule="auto"/>
              <w:ind w:left="-69" w:right="-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748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Шт.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suppressAutoHyphens/>
              <w:spacing w:after="0" w:line="240" w:lineRule="auto"/>
              <w:ind w:left="-6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748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способ крепления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suppressAutoHyphens/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748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головной бандаж</w:t>
            </w:r>
          </w:p>
        </w:tc>
      </w:tr>
      <w:tr w:rsidR="00974850" w:rsidRPr="00974850" w:rsidTr="00974850">
        <w:trPr>
          <w:trHeight w:val="83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suppressAutoHyphens/>
              <w:spacing w:after="0" w:line="240" w:lineRule="auto"/>
              <w:ind w:left="-6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748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способ обработки сигналов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widowControl w:val="0"/>
              <w:suppressAutoHyphens/>
              <w:autoSpaceDN w:val="0"/>
              <w:spacing w:after="0" w:line="240" w:lineRule="auto"/>
              <w:ind w:left="-6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74850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  <w:t>цифровой</w:t>
            </w:r>
            <w:proofErr w:type="spellEnd"/>
          </w:p>
        </w:tc>
      </w:tr>
      <w:tr w:rsidR="00974850" w:rsidRPr="00974850" w:rsidTr="00974850">
        <w:trPr>
          <w:trHeight w:val="1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suppressAutoHyphens/>
              <w:spacing w:after="0" w:line="256" w:lineRule="auto"/>
              <w:ind w:left="-69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8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способ настройки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suppressAutoHyphens/>
              <w:snapToGrid w:val="0"/>
              <w:spacing w:after="0" w:line="192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850">
              <w:rPr>
                <w:rFonts w:ascii="Times New Roman" w:eastAsia="Times New Roman" w:hAnsi="Times New Roman" w:cs="Times New Roman"/>
                <w:sz w:val="18"/>
                <w:szCs w:val="18"/>
              </w:rPr>
              <w:t>цифровой</w:t>
            </w:r>
          </w:p>
        </w:tc>
      </w:tr>
      <w:tr w:rsidR="00974850" w:rsidRPr="00974850" w:rsidTr="00974850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suppressAutoHyphens/>
              <w:spacing w:after="0" w:line="240" w:lineRule="auto"/>
              <w:ind w:left="-6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748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количество каналов цифровой обработки звука, шт.: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widowControl w:val="0"/>
              <w:suppressAutoHyphens/>
              <w:autoSpaceDN w:val="0"/>
              <w:spacing w:after="0" w:line="240" w:lineRule="auto"/>
              <w:ind w:left="-6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4850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15 (включительно)</w:t>
            </w:r>
          </w:p>
        </w:tc>
      </w:tr>
      <w:tr w:rsidR="00974850" w:rsidRPr="00974850" w:rsidTr="00974850">
        <w:trPr>
          <w:trHeight w:val="3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suppressAutoHyphens/>
              <w:spacing w:after="0" w:line="240" w:lineRule="auto"/>
              <w:ind w:left="-6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748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количество программ прослушивания, шт.: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widowControl w:val="0"/>
              <w:suppressAutoHyphens/>
              <w:autoSpaceDN w:val="0"/>
              <w:spacing w:after="0" w:line="240" w:lineRule="auto"/>
              <w:ind w:left="-6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4850">
              <w:rPr>
                <w:rFonts w:ascii="Times New Roman" w:eastAsia="Calibri" w:hAnsi="Times New Roman" w:cs="Times New Roman"/>
                <w:sz w:val="18"/>
                <w:szCs w:val="18"/>
              </w:rPr>
              <w:t>не менее 4</w:t>
            </w:r>
          </w:p>
          <w:p w:rsidR="00974850" w:rsidRPr="00974850" w:rsidRDefault="00974850" w:rsidP="00974850">
            <w:pPr>
              <w:widowControl w:val="0"/>
              <w:suppressAutoHyphens/>
              <w:autoSpaceDN w:val="0"/>
              <w:spacing w:after="0" w:line="240" w:lineRule="auto"/>
              <w:ind w:left="-6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4850">
              <w:rPr>
                <w:rFonts w:ascii="Times New Roman" w:eastAsia="Calibri" w:hAnsi="Times New Roman" w:cs="Times New Roman"/>
                <w:sz w:val="18"/>
                <w:szCs w:val="18"/>
              </w:rPr>
              <w:t>(включительно)</w:t>
            </w:r>
          </w:p>
        </w:tc>
      </w:tr>
      <w:tr w:rsidR="00974850" w:rsidRPr="00974850" w:rsidTr="00974850">
        <w:trPr>
          <w:trHeight w:val="4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suppressAutoHyphens/>
              <w:spacing w:after="0" w:line="240" w:lineRule="auto"/>
              <w:ind w:left="-6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748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частотный диапазон, Гц: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widowControl w:val="0"/>
              <w:suppressAutoHyphens/>
              <w:autoSpaceDN w:val="0"/>
              <w:spacing w:after="0" w:line="240" w:lineRule="auto"/>
              <w:ind w:left="-6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4850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125</w:t>
            </w:r>
          </w:p>
          <w:p w:rsidR="00974850" w:rsidRPr="00974850" w:rsidRDefault="00974850" w:rsidP="00974850">
            <w:pPr>
              <w:widowControl w:val="0"/>
              <w:suppressAutoHyphens/>
              <w:autoSpaceDN w:val="0"/>
              <w:spacing w:after="0" w:line="240" w:lineRule="auto"/>
              <w:ind w:left="-6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4850">
              <w:rPr>
                <w:rFonts w:ascii="Times New Roman" w:eastAsia="Calibri" w:hAnsi="Times New Roman" w:cs="Times New Roman"/>
                <w:sz w:val="18"/>
                <w:szCs w:val="18"/>
              </w:rPr>
              <w:t>(включительно)</w:t>
            </w:r>
          </w:p>
          <w:p w:rsidR="00974850" w:rsidRPr="00974850" w:rsidRDefault="00974850" w:rsidP="00974850">
            <w:pPr>
              <w:widowControl w:val="0"/>
              <w:suppressAutoHyphens/>
              <w:autoSpaceDN w:val="0"/>
              <w:spacing w:after="0" w:line="240" w:lineRule="auto"/>
              <w:ind w:left="-6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4850">
              <w:rPr>
                <w:rFonts w:ascii="Times New Roman" w:eastAsia="Calibri" w:hAnsi="Times New Roman" w:cs="Times New Roman"/>
                <w:sz w:val="18"/>
                <w:szCs w:val="18"/>
              </w:rPr>
              <w:t>не более 8000</w:t>
            </w:r>
          </w:p>
          <w:p w:rsidR="00974850" w:rsidRPr="00974850" w:rsidRDefault="00974850" w:rsidP="00974850">
            <w:pPr>
              <w:widowControl w:val="0"/>
              <w:suppressAutoHyphens/>
              <w:autoSpaceDN w:val="0"/>
              <w:spacing w:after="0" w:line="240" w:lineRule="auto"/>
              <w:ind w:left="-6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4850">
              <w:rPr>
                <w:rFonts w:ascii="Times New Roman" w:eastAsia="Calibri" w:hAnsi="Times New Roman" w:cs="Times New Roman"/>
                <w:sz w:val="18"/>
                <w:szCs w:val="18"/>
              </w:rPr>
              <w:t>(включительно)</w:t>
            </w:r>
          </w:p>
        </w:tc>
      </w:tr>
      <w:tr w:rsidR="00974850" w:rsidRPr="00974850" w:rsidTr="00974850">
        <w:trPr>
          <w:trHeight w:val="4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suppressAutoHyphens/>
              <w:spacing w:after="0" w:line="240" w:lineRule="auto"/>
              <w:ind w:left="-6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748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максимальный выходной уровень звукового давления на 90 дБ (ВУЗД90), дБ: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widowControl w:val="0"/>
              <w:suppressAutoHyphens/>
              <w:autoSpaceDN w:val="0"/>
              <w:spacing w:after="0" w:line="240" w:lineRule="auto"/>
              <w:ind w:left="-6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4850">
              <w:rPr>
                <w:rFonts w:ascii="Times New Roman" w:eastAsia="Calibri" w:hAnsi="Times New Roman" w:cs="Times New Roman"/>
                <w:sz w:val="18"/>
                <w:szCs w:val="18"/>
              </w:rPr>
              <w:t>не менее 124</w:t>
            </w:r>
          </w:p>
          <w:p w:rsidR="00974850" w:rsidRPr="00974850" w:rsidRDefault="00974850" w:rsidP="00974850">
            <w:pPr>
              <w:widowControl w:val="0"/>
              <w:suppressAutoHyphens/>
              <w:autoSpaceDN w:val="0"/>
              <w:spacing w:after="0" w:line="240" w:lineRule="auto"/>
              <w:ind w:left="-6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4850">
              <w:rPr>
                <w:rFonts w:ascii="Times New Roman" w:eastAsia="Calibri" w:hAnsi="Times New Roman" w:cs="Times New Roman"/>
                <w:sz w:val="18"/>
                <w:szCs w:val="18"/>
              </w:rPr>
              <w:t>(включительно)</w:t>
            </w:r>
          </w:p>
        </w:tc>
      </w:tr>
      <w:tr w:rsidR="00974850" w:rsidRPr="00974850" w:rsidTr="00974850">
        <w:trPr>
          <w:trHeight w:val="28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suppressAutoHyphens/>
              <w:spacing w:after="0" w:line="240" w:lineRule="auto"/>
              <w:ind w:left="-6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748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коэффициент гармоник, в %: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widowControl w:val="0"/>
              <w:suppressAutoHyphens/>
              <w:autoSpaceDN w:val="0"/>
              <w:spacing w:after="0" w:line="240" w:lineRule="auto"/>
              <w:ind w:left="-6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48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3 (включительно) </w:t>
            </w:r>
          </w:p>
        </w:tc>
      </w:tr>
      <w:tr w:rsidR="00974850" w:rsidRPr="00974850" w:rsidTr="00974850">
        <w:trPr>
          <w:trHeight w:val="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suppressAutoHyphens/>
              <w:spacing w:after="0" w:line="240" w:lineRule="auto"/>
              <w:ind w:left="-6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748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задержка при обработке и передаче сигнала, миллисекунда (</w:t>
            </w:r>
            <w:proofErr w:type="spellStart"/>
            <w:r w:rsidRPr="009748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мс</w:t>
            </w:r>
            <w:proofErr w:type="spellEnd"/>
            <w:r w:rsidRPr="009748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):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widowControl w:val="0"/>
              <w:suppressAutoHyphens/>
              <w:autoSpaceDN w:val="0"/>
              <w:spacing w:after="0" w:line="240" w:lineRule="auto"/>
              <w:ind w:left="-6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4850">
              <w:rPr>
                <w:rFonts w:ascii="Times New Roman" w:eastAsia="Calibri" w:hAnsi="Times New Roman" w:cs="Times New Roman"/>
                <w:sz w:val="18"/>
                <w:szCs w:val="18"/>
              </w:rPr>
              <w:t>не более 6 (включительно)</w:t>
            </w:r>
          </w:p>
        </w:tc>
      </w:tr>
      <w:tr w:rsidR="00974850" w:rsidRPr="00974850" w:rsidTr="00974850">
        <w:trPr>
          <w:trHeight w:val="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suppressAutoHyphens/>
              <w:spacing w:after="0" w:line="240" w:lineRule="auto"/>
              <w:ind w:left="-6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748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уровень собственных шумов, дБ: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widowControl w:val="0"/>
              <w:suppressAutoHyphens/>
              <w:autoSpaceDN w:val="0"/>
              <w:spacing w:after="0" w:line="240" w:lineRule="auto"/>
              <w:ind w:left="-6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48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26 (включительно) </w:t>
            </w:r>
          </w:p>
        </w:tc>
      </w:tr>
      <w:tr w:rsidR="00974850" w:rsidRPr="00974850" w:rsidTr="00974850">
        <w:trPr>
          <w:trHeight w:val="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suppressAutoHyphens/>
              <w:spacing w:after="0" w:line="240" w:lineRule="auto"/>
              <w:ind w:left="-6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748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автоматическая регулировка усиления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widowControl w:val="0"/>
              <w:suppressAutoHyphens/>
              <w:autoSpaceDN w:val="0"/>
              <w:spacing w:after="0" w:line="240" w:lineRule="auto"/>
              <w:ind w:left="-6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4850">
              <w:rPr>
                <w:rFonts w:ascii="Times New Roman" w:eastAsia="Calibri" w:hAnsi="Times New Roman" w:cs="Times New Roman"/>
                <w:sz w:val="18"/>
                <w:szCs w:val="18"/>
              </w:rPr>
              <w:t>наличие</w:t>
            </w:r>
          </w:p>
        </w:tc>
      </w:tr>
      <w:tr w:rsidR="00974850" w:rsidRPr="00974850" w:rsidTr="00974850">
        <w:trPr>
          <w:trHeight w:val="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suppressAutoHyphens/>
              <w:spacing w:after="0" w:line="240" w:lineRule="auto"/>
              <w:ind w:left="-6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748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система динамического подавления обратной связи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widowControl w:val="0"/>
              <w:suppressAutoHyphens/>
              <w:autoSpaceDN w:val="0"/>
              <w:spacing w:after="0" w:line="240" w:lineRule="auto"/>
              <w:ind w:left="-6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4850">
              <w:rPr>
                <w:rFonts w:ascii="Times New Roman" w:eastAsia="Calibri" w:hAnsi="Times New Roman" w:cs="Times New Roman"/>
                <w:sz w:val="18"/>
                <w:szCs w:val="18"/>
              </w:rPr>
              <w:t>наличие</w:t>
            </w:r>
          </w:p>
        </w:tc>
      </w:tr>
      <w:tr w:rsidR="00974850" w:rsidRPr="00974850" w:rsidTr="00974850">
        <w:trPr>
          <w:trHeight w:val="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suppressAutoHyphens/>
              <w:spacing w:after="0" w:line="240" w:lineRule="auto"/>
              <w:ind w:left="-6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748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автоматическая система шумоподавления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widowControl w:val="0"/>
              <w:suppressAutoHyphens/>
              <w:autoSpaceDN w:val="0"/>
              <w:spacing w:after="0" w:line="240" w:lineRule="auto"/>
              <w:ind w:left="-6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4850">
              <w:rPr>
                <w:rFonts w:ascii="Times New Roman" w:eastAsia="Calibri" w:hAnsi="Times New Roman" w:cs="Times New Roman"/>
                <w:sz w:val="18"/>
                <w:szCs w:val="18"/>
              </w:rPr>
              <w:t>наличие</w:t>
            </w:r>
          </w:p>
        </w:tc>
      </w:tr>
      <w:tr w:rsidR="00974850" w:rsidRPr="00974850" w:rsidTr="00974850">
        <w:trPr>
          <w:trHeight w:val="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suppressAutoHyphens/>
              <w:spacing w:after="0" w:line="240" w:lineRule="auto"/>
              <w:ind w:left="-6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748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регулятор громкости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widowControl w:val="0"/>
              <w:suppressAutoHyphens/>
              <w:autoSpaceDN w:val="0"/>
              <w:spacing w:after="0" w:line="240" w:lineRule="auto"/>
              <w:ind w:left="-6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4850">
              <w:rPr>
                <w:rFonts w:ascii="Times New Roman" w:eastAsia="Calibri" w:hAnsi="Times New Roman" w:cs="Times New Roman"/>
                <w:sz w:val="18"/>
                <w:szCs w:val="18"/>
              </w:rPr>
              <w:t>наличие</w:t>
            </w:r>
          </w:p>
        </w:tc>
      </w:tr>
      <w:tr w:rsidR="00974850" w:rsidRPr="00974850" w:rsidTr="00974850">
        <w:trPr>
          <w:trHeight w:val="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suppressAutoHyphens/>
              <w:spacing w:after="0" w:line="240" w:lineRule="auto"/>
              <w:ind w:left="-6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748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кнопка переключения программ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widowControl w:val="0"/>
              <w:suppressAutoHyphens/>
              <w:autoSpaceDN w:val="0"/>
              <w:spacing w:after="0" w:line="240" w:lineRule="auto"/>
              <w:ind w:left="-6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4850">
              <w:rPr>
                <w:rFonts w:ascii="Times New Roman" w:eastAsia="Calibri" w:hAnsi="Times New Roman" w:cs="Times New Roman"/>
                <w:sz w:val="18"/>
                <w:szCs w:val="18"/>
              </w:rPr>
              <w:t>наличие</w:t>
            </w:r>
          </w:p>
        </w:tc>
      </w:tr>
      <w:tr w:rsidR="00974850" w:rsidRPr="00974850" w:rsidTr="00974850">
        <w:trPr>
          <w:trHeight w:val="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50" w:rsidRPr="00974850" w:rsidRDefault="00974850" w:rsidP="0097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suppressAutoHyphens/>
              <w:spacing w:after="0" w:line="240" w:lineRule="auto"/>
              <w:ind w:left="-6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748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запирающийся отсек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widowControl w:val="0"/>
              <w:suppressAutoHyphens/>
              <w:autoSpaceDN w:val="0"/>
              <w:spacing w:after="0" w:line="240" w:lineRule="auto"/>
              <w:ind w:left="-6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4850">
              <w:rPr>
                <w:rFonts w:ascii="Times New Roman" w:eastAsia="Calibri" w:hAnsi="Times New Roman" w:cs="Times New Roman"/>
                <w:sz w:val="18"/>
                <w:szCs w:val="18"/>
              </w:rPr>
              <w:t>наличие</w:t>
            </w:r>
          </w:p>
        </w:tc>
      </w:tr>
      <w:tr w:rsidR="00974850" w:rsidRPr="00974850" w:rsidTr="00974850">
        <w:trPr>
          <w:trHeight w:val="42"/>
        </w:trPr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suppressAutoHyphens/>
              <w:spacing w:after="0" w:line="240" w:lineRule="auto"/>
              <w:ind w:left="-69" w:right="-1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748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ИТОГО: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suppressAutoHyphens/>
              <w:spacing w:after="0" w:line="240" w:lineRule="auto"/>
              <w:ind w:left="-69" w:right="-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748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50" w:rsidRPr="00974850" w:rsidRDefault="00974850" w:rsidP="00974850">
            <w:pPr>
              <w:keepNext/>
              <w:keepLines/>
              <w:suppressAutoHyphens/>
              <w:spacing w:after="0" w:line="240" w:lineRule="auto"/>
              <w:ind w:left="-69" w:right="-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748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Шт.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0" w:rsidRPr="00974850" w:rsidRDefault="00974850" w:rsidP="00974850">
            <w:pPr>
              <w:keepNext/>
              <w:keepLines/>
              <w:suppressAutoHyphens/>
              <w:spacing w:after="0" w:line="240" w:lineRule="auto"/>
              <w:ind w:left="-6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50" w:rsidRPr="00974850" w:rsidRDefault="00974850" w:rsidP="00974850">
            <w:pPr>
              <w:widowControl w:val="0"/>
              <w:suppressAutoHyphens/>
              <w:autoSpaceDN w:val="0"/>
              <w:spacing w:after="0" w:line="240" w:lineRule="auto"/>
              <w:ind w:left="-6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974850" w:rsidRPr="00974850" w:rsidRDefault="00974850" w:rsidP="00974850">
      <w:pPr>
        <w:keepNext/>
        <w:keepLines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  <w:lang w:eastAsia="zh-CN"/>
        </w:rPr>
      </w:pPr>
    </w:p>
    <w:p w:rsidR="00763DBE" w:rsidRDefault="00AD1BDA"/>
    <w:sectPr w:rsidR="0076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47"/>
    <w:rsid w:val="004058BC"/>
    <w:rsid w:val="00974850"/>
    <w:rsid w:val="009A6C91"/>
    <w:rsid w:val="00AD1BDA"/>
    <w:rsid w:val="00B0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9D56A-E94C-44A1-8B3D-0A33C99A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Буракова Любовь Юрьевна</dc:creator>
  <cp:keywords/>
  <dc:description/>
  <cp:lastModifiedBy>Буракова Любовь Юрьевна</cp:lastModifiedBy>
  <cp:revision>2</cp:revision>
  <dcterms:created xsi:type="dcterms:W3CDTF">2023-03-23T07:33:00Z</dcterms:created>
  <dcterms:modified xsi:type="dcterms:W3CDTF">2023-03-23T07:45:00Z</dcterms:modified>
</cp:coreProperties>
</file>