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375BFE" w:rsidRDefault="005F7457" w:rsidP="009970BA">
      <w:pPr>
        <w:keepLines/>
        <w:widowControl w:val="0"/>
        <w:jc w:val="center"/>
        <w:rPr>
          <w:b/>
          <w:szCs w:val="24"/>
        </w:rPr>
      </w:pPr>
      <w:r w:rsidRPr="00375BFE">
        <w:rPr>
          <w:b/>
          <w:szCs w:val="24"/>
        </w:rPr>
        <w:t>Техническое задание</w:t>
      </w:r>
      <w:r w:rsidR="00BF7B4A" w:rsidRPr="00375BFE">
        <w:rPr>
          <w:b/>
          <w:szCs w:val="24"/>
        </w:rPr>
        <w:t xml:space="preserve"> (описание объекта закупки и условия исполнения государственного контракта)</w:t>
      </w:r>
    </w:p>
    <w:p w14:paraId="3B4D6A45" w14:textId="77777777" w:rsidR="005453D6" w:rsidRDefault="005453D6" w:rsidP="009970BA">
      <w:pPr>
        <w:keepLines/>
        <w:widowControl w:val="0"/>
        <w:jc w:val="center"/>
        <w:rPr>
          <w:b/>
          <w:szCs w:val="24"/>
        </w:rPr>
      </w:pPr>
    </w:p>
    <w:p w14:paraId="2517ACBE" w14:textId="4AE4FD02" w:rsidR="004D0D74" w:rsidRDefault="004D0D74" w:rsidP="004D0D74">
      <w:pPr>
        <w:pBdr>
          <w:bottom w:val="single" w:sz="12" w:space="0" w:color="auto"/>
        </w:pBdr>
        <w:suppressAutoHyphens/>
        <w:jc w:val="center"/>
        <w:rPr>
          <w:b/>
          <w:color w:val="auto"/>
          <w:szCs w:val="24"/>
          <w:lang w:eastAsia="ar-SA"/>
        </w:rPr>
      </w:pPr>
      <w:r w:rsidRPr="004D0D74">
        <w:rPr>
          <w:b/>
          <w:color w:val="auto"/>
          <w:szCs w:val="24"/>
          <w:lang w:eastAsia="ar-SA"/>
        </w:rPr>
        <w:t>Поставка абсорбирующего белья для инвалидов Краснодарского края в 2023 году</w:t>
      </w:r>
    </w:p>
    <w:tbl>
      <w:tblPr>
        <w:tblStyle w:val="5b"/>
        <w:tblW w:w="5000" w:type="pct"/>
        <w:tblLook w:val="04A0" w:firstRow="1" w:lastRow="0" w:firstColumn="1" w:lastColumn="0" w:noHBand="0" w:noVBand="1"/>
      </w:tblPr>
      <w:tblGrid>
        <w:gridCol w:w="650"/>
        <w:gridCol w:w="1759"/>
        <w:gridCol w:w="7479"/>
        <w:gridCol w:w="1275"/>
        <w:gridCol w:w="707"/>
        <w:gridCol w:w="1278"/>
        <w:gridCol w:w="1638"/>
      </w:tblGrid>
      <w:tr w:rsidR="004D0D74" w:rsidRPr="004D0D74" w14:paraId="3201374E" w14:textId="77777777" w:rsidTr="004D0D74">
        <w:tc>
          <w:tcPr>
            <w:tcW w:w="220" w:type="pct"/>
          </w:tcPr>
          <w:p w14:paraId="07A154F6" w14:textId="77777777" w:rsidR="004D0D74" w:rsidRPr="004D0D74" w:rsidRDefault="004D0D74" w:rsidP="004D0D74">
            <w:pPr>
              <w:jc w:val="center"/>
              <w:rPr>
                <w:sz w:val="24"/>
                <w:szCs w:val="24"/>
                <w:lang w:eastAsia="ar-SA"/>
              </w:rPr>
            </w:pPr>
            <w:r w:rsidRPr="004D0D74">
              <w:rPr>
                <w:sz w:val="24"/>
                <w:szCs w:val="24"/>
                <w:lang w:eastAsia="ar-SA"/>
              </w:rPr>
              <w:t>№ п/п</w:t>
            </w:r>
          </w:p>
        </w:tc>
        <w:tc>
          <w:tcPr>
            <w:tcW w:w="595" w:type="pct"/>
          </w:tcPr>
          <w:p w14:paraId="33677275" w14:textId="77777777" w:rsidR="004D0D74" w:rsidRPr="004D0D74" w:rsidRDefault="004D0D74" w:rsidP="004D0D74">
            <w:pPr>
              <w:jc w:val="center"/>
              <w:rPr>
                <w:sz w:val="24"/>
                <w:szCs w:val="24"/>
                <w:lang w:eastAsia="ar-SA"/>
              </w:rPr>
            </w:pPr>
            <w:r w:rsidRPr="004D0D74">
              <w:rPr>
                <w:sz w:val="24"/>
                <w:szCs w:val="24"/>
                <w:lang w:eastAsia="ar-SA"/>
              </w:rPr>
              <w:t>Наименование товара, работ, услуг</w:t>
            </w:r>
          </w:p>
        </w:tc>
        <w:tc>
          <w:tcPr>
            <w:tcW w:w="2529" w:type="pct"/>
          </w:tcPr>
          <w:p w14:paraId="229EB9EA" w14:textId="77777777" w:rsidR="004D0D74" w:rsidRPr="004D0D74" w:rsidRDefault="004D0D74" w:rsidP="004D0D74">
            <w:pPr>
              <w:jc w:val="center"/>
              <w:rPr>
                <w:sz w:val="24"/>
                <w:szCs w:val="24"/>
                <w:lang w:eastAsia="ar-SA"/>
              </w:rPr>
            </w:pPr>
            <w:r w:rsidRPr="004D0D74">
              <w:rPr>
                <w:sz w:val="24"/>
                <w:szCs w:val="24"/>
                <w:lang w:eastAsia="ar-SA"/>
              </w:rPr>
              <w:t>Описание объекта закупки</w:t>
            </w:r>
          </w:p>
        </w:tc>
        <w:tc>
          <w:tcPr>
            <w:tcW w:w="431" w:type="pct"/>
          </w:tcPr>
          <w:p w14:paraId="3E4EFD75" w14:textId="3626F16A" w:rsidR="004D0D74" w:rsidRPr="004D0D74" w:rsidRDefault="004D0D74" w:rsidP="004D0D74">
            <w:pPr>
              <w:jc w:val="center"/>
              <w:rPr>
                <w:sz w:val="24"/>
                <w:szCs w:val="24"/>
                <w:lang w:eastAsia="ar-SA"/>
              </w:rPr>
            </w:pPr>
            <w:r>
              <w:rPr>
                <w:sz w:val="24"/>
                <w:szCs w:val="24"/>
                <w:lang w:eastAsia="ar-SA"/>
              </w:rPr>
              <w:t>Кол-во</w:t>
            </w:r>
          </w:p>
        </w:tc>
        <w:tc>
          <w:tcPr>
            <w:tcW w:w="239" w:type="pct"/>
          </w:tcPr>
          <w:p w14:paraId="775E34DD" w14:textId="77777777" w:rsidR="004D0D74" w:rsidRPr="004D0D74" w:rsidRDefault="004D0D74" w:rsidP="004D0D74">
            <w:pPr>
              <w:jc w:val="center"/>
              <w:rPr>
                <w:sz w:val="24"/>
                <w:szCs w:val="24"/>
                <w:lang w:eastAsia="ar-SA"/>
              </w:rPr>
            </w:pPr>
            <w:r w:rsidRPr="004D0D74">
              <w:rPr>
                <w:sz w:val="24"/>
                <w:szCs w:val="24"/>
                <w:lang w:eastAsia="ar-SA"/>
              </w:rPr>
              <w:t>Ед. изм.</w:t>
            </w:r>
          </w:p>
        </w:tc>
        <w:tc>
          <w:tcPr>
            <w:tcW w:w="432" w:type="pct"/>
          </w:tcPr>
          <w:p w14:paraId="741EE76F" w14:textId="77777777" w:rsidR="004D0D74" w:rsidRPr="004D0D74" w:rsidRDefault="004D0D74" w:rsidP="004D0D74">
            <w:pPr>
              <w:jc w:val="center"/>
              <w:rPr>
                <w:sz w:val="24"/>
                <w:szCs w:val="24"/>
                <w:lang w:eastAsia="ar-SA"/>
              </w:rPr>
            </w:pPr>
            <w:r w:rsidRPr="004D0D74">
              <w:rPr>
                <w:sz w:val="24"/>
                <w:szCs w:val="24"/>
                <w:lang w:eastAsia="ar-SA"/>
              </w:rPr>
              <w:t>Цена за ед. изм.</w:t>
            </w:r>
            <w:r w:rsidRPr="004D0D74">
              <w:rPr>
                <w:sz w:val="24"/>
                <w:szCs w:val="24"/>
                <w:vertAlign w:val="superscript"/>
                <w:lang w:eastAsia="ar-SA"/>
              </w:rPr>
              <w:footnoteReference w:id="1"/>
            </w:r>
            <w:r w:rsidRPr="004D0D74">
              <w:rPr>
                <w:sz w:val="24"/>
                <w:szCs w:val="24"/>
                <w:lang w:eastAsia="ar-SA"/>
              </w:rPr>
              <w:t>, руб.</w:t>
            </w:r>
          </w:p>
        </w:tc>
        <w:tc>
          <w:tcPr>
            <w:tcW w:w="554" w:type="pct"/>
          </w:tcPr>
          <w:p w14:paraId="60A195EB" w14:textId="77777777" w:rsidR="004D0D74" w:rsidRPr="004D0D74" w:rsidRDefault="004D0D74" w:rsidP="004D0D74">
            <w:pPr>
              <w:jc w:val="center"/>
              <w:rPr>
                <w:sz w:val="24"/>
                <w:szCs w:val="24"/>
                <w:lang w:eastAsia="ar-SA"/>
              </w:rPr>
            </w:pPr>
            <w:r w:rsidRPr="004D0D74">
              <w:rPr>
                <w:sz w:val="24"/>
                <w:szCs w:val="24"/>
                <w:lang w:eastAsia="ar-SA"/>
              </w:rPr>
              <w:t>Цена по позиции</w:t>
            </w:r>
            <w:r w:rsidRPr="004D0D74">
              <w:rPr>
                <w:sz w:val="24"/>
                <w:szCs w:val="24"/>
                <w:vertAlign w:val="superscript"/>
                <w:lang w:eastAsia="ar-SA"/>
              </w:rPr>
              <w:footnoteReference w:id="2"/>
            </w:r>
            <w:r w:rsidRPr="004D0D74">
              <w:rPr>
                <w:sz w:val="24"/>
                <w:szCs w:val="24"/>
                <w:lang w:eastAsia="ar-SA"/>
              </w:rPr>
              <w:t>, руб.</w:t>
            </w:r>
          </w:p>
        </w:tc>
      </w:tr>
      <w:tr w:rsidR="004D0D74" w:rsidRPr="004D0D74" w14:paraId="2BAAC1CC" w14:textId="77777777" w:rsidTr="004D0D74">
        <w:tc>
          <w:tcPr>
            <w:tcW w:w="220" w:type="pct"/>
          </w:tcPr>
          <w:p w14:paraId="73B38A7E" w14:textId="77777777" w:rsidR="004D0D74" w:rsidRPr="004D0D74" w:rsidRDefault="004D0D74" w:rsidP="004D0D74">
            <w:pPr>
              <w:rPr>
                <w:sz w:val="24"/>
                <w:szCs w:val="24"/>
                <w:lang w:eastAsia="ar-SA"/>
              </w:rPr>
            </w:pPr>
            <w:r w:rsidRPr="004D0D74">
              <w:rPr>
                <w:sz w:val="24"/>
                <w:szCs w:val="24"/>
                <w:lang w:eastAsia="ar-SA"/>
              </w:rPr>
              <w:t>1.</w:t>
            </w:r>
          </w:p>
        </w:tc>
        <w:tc>
          <w:tcPr>
            <w:tcW w:w="595" w:type="pct"/>
          </w:tcPr>
          <w:p w14:paraId="097B4887" w14:textId="77777777" w:rsidR="004D0D74" w:rsidRPr="004D0D74" w:rsidRDefault="004D0D74" w:rsidP="004D0D74">
            <w:pPr>
              <w:jc w:val="center"/>
              <w:rPr>
                <w:sz w:val="24"/>
                <w:szCs w:val="24"/>
                <w:lang w:eastAsia="ar-SA"/>
              </w:rPr>
            </w:pPr>
            <w:r w:rsidRPr="004D0D74">
              <w:rPr>
                <w:sz w:val="24"/>
                <w:szCs w:val="24"/>
                <w:lang w:eastAsia="ar-SA"/>
              </w:rPr>
              <w:t>Пеленка</w:t>
            </w:r>
          </w:p>
          <w:p w14:paraId="599A2A39" w14:textId="6B2405FB" w:rsidR="004D0D74" w:rsidRPr="004D0D74" w:rsidRDefault="004D0D74" w:rsidP="004D0D74">
            <w:pPr>
              <w:jc w:val="center"/>
              <w:rPr>
                <w:sz w:val="24"/>
                <w:szCs w:val="24"/>
                <w:lang w:eastAsia="ar-SA"/>
              </w:rPr>
            </w:pPr>
            <w:r w:rsidRPr="004D0D74">
              <w:rPr>
                <w:sz w:val="24"/>
                <w:szCs w:val="24"/>
                <w:lang w:eastAsia="ar-SA"/>
              </w:rPr>
              <w:t>впитывающая</w:t>
            </w:r>
          </w:p>
        </w:tc>
        <w:tc>
          <w:tcPr>
            <w:tcW w:w="2529" w:type="pct"/>
          </w:tcPr>
          <w:p w14:paraId="0A52BBFB" w14:textId="77777777" w:rsidR="004D0D74" w:rsidRPr="004D0D74" w:rsidRDefault="004D0D74" w:rsidP="004D0D74">
            <w:pPr>
              <w:jc w:val="both"/>
              <w:rPr>
                <w:sz w:val="24"/>
                <w:szCs w:val="24"/>
                <w:lang w:eastAsia="ar-SA"/>
              </w:rPr>
            </w:pPr>
            <w:r w:rsidRPr="004D0D74">
              <w:rPr>
                <w:sz w:val="24"/>
                <w:szCs w:val="24"/>
                <w:lang w:eastAsia="ar-SA"/>
              </w:rPr>
              <w:t>Впитывающие простыни (пеленки) размером не менее 40 x 60 см (</w:t>
            </w:r>
            <w:proofErr w:type="spellStart"/>
            <w:r w:rsidRPr="004D0D74">
              <w:rPr>
                <w:sz w:val="24"/>
                <w:szCs w:val="24"/>
                <w:lang w:eastAsia="ar-SA"/>
              </w:rPr>
              <w:t>впитываемостью</w:t>
            </w:r>
            <w:proofErr w:type="spellEnd"/>
            <w:r w:rsidRPr="004D0D74">
              <w:rPr>
                <w:sz w:val="24"/>
                <w:szCs w:val="24"/>
                <w:lang w:eastAsia="ar-SA"/>
              </w:rPr>
              <w:t xml:space="preserve"> от 400 до 500г). </w:t>
            </w:r>
          </w:p>
          <w:p w14:paraId="2302358C" w14:textId="77777777" w:rsidR="004D0D74" w:rsidRPr="004D0D74" w:rsidRDefault="004D0D74" w:rsidP="004D0D74">
            <w:pPr>
              <w:jc w:val="both"/>
              <w:rPr>
                <w:sz w:val="24"/>
                <w:szCs w:val="24"/>
                <w:lang w:eastAsia="ar-SA"/>
              </w:rPr>
            </w:pPr>
            <w:r w:rsidRPr="004D0D74">
              <w:rPr>
                <w:sz w:val="24"/>
                <w:szCs w:val="24"/>
                <w:lang w:eastAsia="ar-SA"/>
              </w:rPr>
              <w:t xml:space="preserve">Абсорбирующее белье, впитывающие простыни (пеленки) должны соответствовать ГОСТ Р 57762-2021, ГОСТ Р 52770-2016, ГОСТ Р </w:t>
            </w:r>
            <w:r w:rsidRPr="004D0D74">
              <w:rPr>
                <w:bCs/>
                <w:sz w:val="24"/>
                <w:szCs w:val="24"/>
                <w:lang w:eastAsia="ar-SA"/>
              </w:rPr>
              <w:t>51632-2021</w:t>
            </w:r>
            <w:r w:rsidRPr="004D0D74">
              <w:rPr>
                <w:sz w:val="24"/>
                <w:szCs w:val="24"/>
                <w:lang w:eastAsia="ar-SA"/>
              </w:rPr>
              <w:t xml:space="preserve">. </w:t>
            </w:r>
          </w:p>
          <w:p w14:paraId="26CCF987" w14:textId="77777777" w:rsidR="004D0D74" w:rsidRPr="004D0D74" w:rsidRDefault="004D0D74" w:rsidP="004D0D74">
            <w:pPr>
              <w:jc w:val="both"/>
              <w:rPr>
                <w:sz w:val="24"/>
                <w:szCs w:val="24"/>
                <w:lang w:eastAsia="ar-SA"/>
              </w:rPr>
            </w:pPr>
            <w:r w:rsidRPr="004D0D74">
              <w:rPr>
                <w:sz w:val="24"/>
                <w:szCs w:val="24"/>
                <w:lang w:eastAsia="ar-SA"/>
              </w:rPr>
              <w:t xml:space="preserve">Размером длина не менее 40 см, ширина не менее 60 см, </w:t>
            </w:r>
            <w:proofErr w:type="spellStart"/>
            <w:r w:rsidRPr="004D0D74">
              <w:rPr>
                <w:sz w:val="24"/>
                <w:szCs w:val="24"/>
                <w:lang w:eastAsia="ar-SA"/>
              </w:rPr>
              <w:t>впитываемость</w:t>
            </w:r>
            <w:proofErr w:type="spellEnd"/>
            <w:r w:rsidRPr="004D0D74">
              <w:rPr>
                <w:sz w:val="24"/>
                <w:szCs w:val="24"/>
                <w:lang w:eastAsia="ar-SA"/>
              </w:rPr>
              <w:t xml:space="preserve"> от 400 до 500г.</w:t>
            </w:r>
          </w:p>
          <w:p w14:paraId="208D7654" w14:textId="77777777" w:rsidR="004D0D74" w:rsidRPr="004D0D74" w:rsidRDefault="004D0D74" w:rsidP="004D0D74">
            <w:pPr>
              <w:jc w:val="both"/>
              <w:rPr>
                <w:sz w:val="24"/>
                <w:szCs w:val="24"/>
                <w:lang w:eastAsia="ar-SA"/>
              </w:rPr>
            </w:pPr>
            <w:r w:rsidRPr="004D0D74">
              <w:rPr>
                <w:sz w:val="24"/>
                <w:szCs w:val="24"/>
                <w:lang w:eastAsia="ar-SA"/>
              </w:rPr>
              <w:t xml:space="preserve">Впитывающие простыни (пеленки) должны обеспечивать соблюдение санитарно-гигиенических условий для инвалидов с нарушениями функций выделения. Впитывающая простыня (пеленка) должна представлять многослойное изделие прямоугольной формы из распушенной целлюлозы, нижний слой материала не пропускающий влагу. В простынях (пеленках) не допускаются следы </w:t>
            </w:r>
            <w:proofErr w:type="spellStart"/>
            <w:r w:rsidRPr="004D0D74">
              <w:rPr>
                <w:sz w:val="24"/>
                <w:szCs w:val="24"/>
                <w:lang w:eastAsia="ar-SA"/>
              </w:rPr>
              <w:t>выщипывания</w:t>
            </w:r>
            <w:proofErr w:type="spellEnd"/>
            <w:r w:rsidRPr="004D0D74">
              <w:rPr>
                <w:sz w:val="24"/>
                <w:szCs w:val="24"/>
                <w:lang w:eastAsia="ar-SA"/>
              </w:rPr>
              <w:t xml:space="preserve"> волокон с поверхности белья и </w:t>
            </w:r>
            <w:proofErr w:type="spellStart"/>
            <w:r w:rsidRPr="004D0D74">
              <w:rPr>
                <w:sz w:val="24"/>
                <w:szCs w:val="24"/>
                <w:lang w:eastAsia="ar-SA"/>
              </w:rPr>
              <w:t>отмарывания</w:t>
            </w:r>
            <w:proofErr w:type="spellEnd"/>
            <w:r w:rsidRPr="004D0D74">
              <w:rPr>
                <w:sz w:val="24"/>
                <w:szCs w:val="24"/>
                <w:lang w:eastAsia="ar-SA"/>
              </w:rPr>
              <w:t xml:space="preserve"> краски. 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w:t>
            </w:r>
          </w:p>
          <w:p w14:paraId="6E013686" w14:textId="77777777" w:rsidR="004D0D74" w:rsidRPr="004D0D74" w:rsidRDefault="004D0D74" w:rsidP="004D0D74">
            <w:pPr>
              <w:jc w:val="both"/>
              <w:rPr>
                <w:sz w:val="24"/>
                <w:szCs w:val="24"/>
                <w:lang w:eastAsia="ar-SA"/>
              </w:rPr>
            </w:pPr>
            <w:r w:rsidRPr="004D0D74">
              <w:rPr>
                <w:sz w:val="24"/>
                <w:szCs w:val="24"/>
                <w:lang w:eastAsia="ar-SA"/>
              </w:rPr>
              <w:t xml:space="preserve">Маркировка упаковки впитывающих простыней (пеленок)  должна включать: условное обозначение группы впитывающих простыней (пеленок), товарную марку, обозначение размера товара; обозначение </w:t>
            </w:r>
            <w:proofErr w:type="spellStart"/>
            <w:r w:rsidRPr="004D0D74">
              <w:rPr>
                <w:sz w:val="24"/>
                <w:szCs w:val="24"/>
                <w:lang w:eastAsia="ar-SA"/>
              </w:rPr>
              <w:t>впитываемости</w:t>
            </w:r>
            <w:proofErr w:type="spellEnd"/>
            <w:r w:rsidRPr="004D0D74">
              <w:rPr>
                <w:sz w:val="24"/>
                <w:szCs w:val="24"/>
                <w:lang w:eastAsia="ar-SA"/>
              </w:rPr>
              <w:t xml:space="preserve"> товара; страну-изготовителя; наименование предприятия-изготовителя, юридический адрес, товарный знак; отличительные характеристики впитывающих простыней (пеленок)  в соответствии с их техническим исполнением; номер артикула (при  наличии); количество товара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товара (при наличии); информацию о сертификации. </w:t>
            </w:r>
          </w:p>
          <w:p w14:paraId="3F95B3DB" w14:textId="77777777" w:rsidR="004D0D74" w:rsidRPr="004D0D74" w:rsidRDefault="004D0D74" w:rsidP="004D0D74">
            <w:pPr>
              <w:jc w:val="both"/>
              <w:rPr>
                <w:sz w:val="24"/>
                <w:szCs w:val="24"/>
                <w:lang w:eastAsia="ar-SA"/>
              </w:rPr>
            </w:pPr>
            <w:r w:rsidRPr="004D0D74">
              <w:rPr>
                <w:sz w:val="24"/>
                <w:szCs w:val="24"/>
                <w:lang w:eastAsia="ar-SA"/>
              </w:rPr>
              <w:t>Впитывающие простыни (пеленки) по несколько штук упаковывают в пакеты из полимерной пленки или пачки, или коробки, или другую тару, обеспечивающую их сохранность при транспортировании и хранении. Швы в пакетах из полимерной пленки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Сырье и материалы для изготовления абсорбирующего белья,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Абсорбирующее белье, впитывающие простыни (пеленки) должны соответствовать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Абсорбирующее белье должно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431" w:type="pct"/>
          </w:tcPr>
          <w:p w14:paraId="6D21B817" w14:textId="77777777" w:rsidR="004D0D74" w:rsidRPr="004D0D74" w:rsidRDefault="004D0D74" w:rsidP="004D0D74">
            <w:pPr>
              <w:jc w:val="center"/>
              <w:rPr>
                <w:sz w:val="24"/>
                <w:szCs w:val="24"/>
                <w:lang w:eastAsia="ar-SA"/>
              </w:rPr>
            </w:pPr>
            <w:r w:rsidRPr="004D0D74">
              <w:rPr>
                <w:sz w:val="24"/>
                <w:szCs w:val="24"/>
                <w:lang w:eastAsia="ar-SA"/>
              </w:rPr>
              <w:t>6 500</w:t>
            </w:r>
          </w:p>
        </w:tc>
        <w:tc>
          <w:tcPr>
            <w:tcW w:w="239" w:type="pct"/>
          </w:tcPr>
          <w:p w14:paraId="41A03AE6" w14:textId="77777777" w:rsidR="004D0D74" w:rsidRPr="004D0D74" w:rsidRDefault="004D0D74" w:rsidP="004D0D74">
            <w:pPr>
              <w:jc w:val="center"/>
              <w:rPr>
                <w:sz w:val="24"/>
                <w:szCs w:val="24"/>
                <w:lang w:eastAsia="ar-SA"/>
              </w:rPr>
            </w:pPr>
            <w:r w:rsidRPr="004D0D74">
              <w:rPr>
                <w:sz w:val="24"/>
                <w:szCs w:val="24"/>
                <w:lang w:eastAsia="ar-SA"/>
              </w:rPr>
              <w:t>Шт.</w:t>
            </w:r>
          </w:p>
        </w:tc>
        <w:tc>
          <w:tcPr>
            <w:tcW w:w="432" w:type="pct"/>
          </w:tcPr>
          <w:p w14:paraId="3B005CCD" w14:textId="77777777" w:rsidR="004D0D74" w:rsidRPr="004D0D74" w:rsidRDefault="004D0D74" w:rsidP="004D0D74">
            <w:pPr>
              <w:jc w:val="center"/>
              <w:rPr>
                <w:sz w:val="24"/>
                <w:szCs w:val="24"/>
                <w:lang w:eastAsia="ar-SA"/>
              </w:rPr>
            </w:pPr>
            <w:r w:rsidRPr="004D0D74">
              <w:rPr>
                <w:sz w:val="24"/>
                <w:szCs w:val="24"/>
                <w:lang w:eastAsia="ar-SA"/>
              </w:rPr>
              <w:t>18,10</w:t>
            </w:r>
          </w:p>
        </w:tc>
        <w:tc>
          <w:tcPr>
            <w:tcW w:w="554" w:type="pct"/>
          </w:tcPr>
          <w:p w14:paraId="17F4F6BF" w14:textId="77777777" w:rsidR="004D0D74" w:rsidRPr="004D0D74" w:rsidRDefault="004D0D74" w:rsidP="004D0D74">
            <w:pPr>
              <w:jc w:val="center"/>
              <w:rPr>
                <w:sz w:val="24"/>
                <w:szCs w:val="24"/>
                <w:lang w:eastAsia="ar-SA"/>
              </w:rPr>
            </w:pPr>
            <w:r w:rsidRPr="004D0D74">
              <w:rPr>
                <w:sz w:val="24"/>
                <w:szCs w:val="24"/>
                <w:lang w:eastAsia="ar-SA"/>
              </w:rPr>
              <w:t>117 650,00</w:t>
            </w:r>
          </w:p>
        </w:tc>
      </w:tr>
      <w:tr w:rsidR="004D0D74" w:rsidRPr="004D0D74" w14:paraId="004D93C3" w14:textId="77777777" w:rsidTr="004D0D74">
        <w:tc>
          <w:tcPr>
            <w:tcW w:w="220" w:type="pct"/>
          </w:tcPr>
          <w:p w14:paraId="50D982BB" w14:textId="77777777" w:rsidR="004D0D74" w:rsidRPr="004D0D74" w:rsidRDefault="004D0D74" w:rsidP="004D0D74">
            <w:pPr>
              <w:rPr>
                <w:sz w:val="24"/>
                <w:szCs w:val="24"/>
                <w:lang w:eastAsia="ar-SA"/>
              </w:rPr>
            </w:pPr>
            <w:r w:rsidRPr="004D0D74">
              <w:rPr>
                <w:sz w:val="24"/>
                <w:szCs w:val="24"/>
                <w:lang w:eastAsia="ar-SA"/>
              </w:rPr>
              <w:t>2.</w:t>
            </w:r>
          </w:p>
        </w:tc>
        <w:tc>
          <w:tcPr>
            <w:tcW w:w="595" w:type="pct"/>
          </w:tcPr>
          <w:p w14:paraId="61C10E75" w14:textId="264AFC1A" w:rsidR="004D0D74" w:rsidRPr="004D0D74" w:rsidRDefault="004D0D74" w:rsidP="004D0D74">
            <w:pPr>
              <w:jc w:val="center"/>
              <w:rPr>
                <w:sz w:val="24"/>
                <w:szCs w:val="24"/>
                <w:lang w:eastAsia="ar-SA"/>
              </w:rPr>
            </w:pPr>
            <w:r w:rsidRPr="004D0D74">
              <w:rPr>
                <w:sz w:val="24"/>
                <w:szCs w:val="24"/>
                <w:lang w:eastAsia="ar-SA"/>
              </w:rPr>
              <w:t>Пеленка впитывающая</w:t>
            </w:r>
          </w:p>
        </w:tc>
        <w:tc>
          <w:tcPr>
            <w:tcW w:w="2529" w:type="pct"/>
          </w:tcPr>
          <w:p w14:paraId="465480BC" w14:textId="77777777" w:rsidR="004D0D74" w:rsidRPr="004D0D74" w:rsidRDefault="004D0D74" w:rsidP="004D0D74">
            <w:pPr>
              <w:jc w:val="both"/>
              <w:rPr>
                <w:b/>
                <w:sz w:val="24"/>
                <w:szCs w:val="24"/>
                <w:lang w:eastAsia="ar-SA"/>
              </w:rPr>
            </w:pPr>
            <w:r w:rsidRPr="004D0D74">
              <w:rPr>
                <w:sz w:val="24"/>
                <w:szCs w:val="24"/>
                <w:lang w:eastAsia="ar-SA"/>
              </w:rPr>
              <w:t>Впитывающие простыни (пеленки) размером не менее 60 x 60 см (</w:t>
            </w:r>
            <w:proofErr w:type="spellStart"/>
            <w:r w:rsidRPr="004D0D74">
              <w:rPr>
                <w:sz w:val="24"/>
                <w:szCs w:val="24"/>
                <w:lang w:eastAsia="ar-SA"/>
              </w:rPr>
              <w:t>впитываемостью</w:t>
            </w:r>
            <w:proofErr w:type="spellEnd"/>
            <w:r w:rsidRPr="004D0D74">
              <w:rPr>
                <w:sz w:val="24"/>
                <w:szCs w:val="24"/>
                <w:lang w:eastAsia="ar-SA"/>
              </w:rPr>
              <w:t xml:space="preserve"> от 800 до 1200 г)</w:t>
            </w:r>
            <w:r w:rsidRPr="004D0D74">
              <w:rPr>
                <w:b/>
                <w:sz w:val="24"/>
                <w:szCs w:val="24"/>
                <w:lang w:eastAsia="ar-SA"/>
              </w:rPr>
              <w:t>.</w:t>
            </w:r>
          </w:p>
          <w:p w14:paraId="32DB8B28" w14:textId="77777777" w:rsidR="004D0D74" w:rsidRPr="004D0D74" w:rsidRDefault="004D0D74" w:rsidP="004D0D74">
            <w:pPr>
              <w:jc w:val="both"/>
              <w:rPr>
                <w:sz w:val="24"/>
                <w:szCs w:val="24"/>
                <w:lang w:eastAsia="ar-SA"/>
              </w:rPr>
            </w:pPr>
            <w:r w:rsidRPr="004D0D74">
              <w:rPr>
                <w:sz w:val="24"/>
                <w:szCs w:val="24"/>
                <w:lang w:eastAsia="ar-SA"/>
              </w:rPr>
              <w:t xml:space="preserve"> Абсорбирующее белье, впитывающие простыни (пеленки) должны соответствовать ГОСТ Р 57762-2021, ГОСТ Р 52770-2016, ГОСТ Р </w:t>
            </w:r>
            <w:r w:rsidRPr="004D0D74">
              <w:rPr>
                <w:bCs/>
                <w:sz w:val="24"/>
                <w:szCs w:val="24"/>
                <w:lang w:eastAsia="ar-SA"/>
              </w:rPr>
              <w:t>51632-2021</w:t>
            </w:r>
            <w:r w:rsidRPr="004D0D74">
              <w:rPr>
                <w:sz w:val="24"/>
                <w:szCs w:val="24"/>
                <w:lang w:eastAsia="ar-SA"/>
              </w:rPr>
              <w:t xml:space="preserve">. </w:t>
            </w:r>
          </w:p>
          <w:p w14:paraId="2B7655B9" w14:textId="77777777" w:rsidR="004D0D74" w:rsidRPr="004D0D74" w:rsidRDefault="004D0D74" w:rsidP="004D0D74">
            <w:pPr>
              <w:jc w:val="both"/>
              <w:rPr>
                <w:sz w:val="24"/>
                <w:szCs w:val="24"/>
                <w:lang w:eastAsia="ar-SA"/>
              </w:rPr>
            </w:pPr>
            <w:r w:rsidRPr="004D0D74">
              <w:rPr>
                <w:sz w:val="24"/>
                <w:szCs w:val="24"/>
                <w:lang w:eastAsia="ar-SA"/>
              </w:rPr>
              <w:t xml:space="preserve">Размером длина не менее 60 см, ширина не менее 60 см, </w:t>
            </w:r>
            <w:proofErr w:type="spellStart"/>
            <w:r w:rsidRPr="004D0D74">
              <w:rPr>
                <w:sz w:val="24"/>
                <w:szCs w:val="24"/>
                <w:lang w:eastAsia="ar-SA"/>
              </w:rPr>
              <w:t>впитываемость</w:t>
            </w:r>
            <w:proofErr w:type="spellEnd"/>
            <w:r w:rsidRPr="004D0D74">
              <w:rPr>
                <w:sz w:val="24"/>
                <w:szCs w:val="24"/>
                <w:lang w:eastAsia="ar-SA"/>
              </w:rPr>
              <w:t xml:space="preserve"> от 800 до 1200 г.</w:t>
            </w:r>
          </w:p>
          <w:p w14:paraId="75C36C07" w14:textId="77777777" w:rsidR="004D0D74" w:rsidRPr="004D0D74" w:rsidRDefault="004D0D74" w:rsidP="004D0D74">
            <w:pPr>
              <w:jc w:val="both"/>
              <w:rPr>
                <w:sz w:val="24"/>
                <w:szCs w:val="24"/>
                <w:lang w:eastAsia="ar-SA"/>
              </w:rPr>
            </w:pPr>
            <w:r w:rsidRPr="004D0D74">
              <w:rPr>
                <w:sz w:val="24"/>
                <w:szCs w:val="24"/>
                <w:lang w:eastAsia="ar-SA"/>
              </w:rPr>
              <w:t>Впитывающие простыни (пеленки) должны обеспечивать соблюдение санитарно-гигиенических условий для инвалидов с нарушениями функций выделения.</w:t>
            </w:r>
          </w:p>
          <w:p w14:paraId="65142FDE" w14:textId="77777777" w:rsidR="004D0D74" w:rsidRPr="004D0D74" w:rsidRDefault="004D0D74" w:rsidP="004D0D74">
            <w:pPr>
              <w:jc w:val="both"/>
              <w:rPr>
                <w:sz w:val="24"/>
                <w:szCs w:val="24"/>
                <w:lang w:eastAsia="ar-SA"/>
              </w:rPr>
            </w:pPr>
            <w:r w:rsidRPr="004D0D74">
              <w:rPr>
                <w:sz w:val="24"/>
                <w:szCs w:val="24"/>
                <w:lang w:eastAsia="ar-SA"/>
              </w:rPr>
              <w:t xml:space="preserve">Впитывающая простыня (пеленка) должна представлять многослойное изделие прямоугольной формы из распушенной целлюлозы, нижний слой материала не пропускающий влагу. В простынях (пеленках) не допускаются следы </w:t>
            </w:r>
            <w:proofErr w:type="spellStart"/>
            <w:r w:rsidRPr="004D0D74">
              <w:rPr>
                <w:sz w:val="24"/>
                <w:szCs w:val="24"/>
                <w:lang w:eastAsia="ar-SA"/>
              </w:rPr>
              <w:t>выщипывания</w:t>
            </w:r>
            <w:proofErr w:type="spellEnd"/>
            <w:r w:rsidRPr="004D0D74">
              <w:rPr>
                <w:sz w:val="24"/>
                <w:szCs w:val="24"/>
                <w:lang w:eastAsia="ar-SA"/>
              </w:rPr>
              <w:t xml:space="preserve"> волокон с поверхности белья и </w:t>
            </w:r>
            <w:proofErr w:type="spellStart"/>
            <w:r w:rsidRPr="004D0D74">
              <w:rPr>
                <w:sz w:val="24"/>
                <w:szCs w:val="24"/>
                <w:lang w:eastAsia="ar-SA"/>
              </w:rPr>
              <w:t>отмарывания</w:t>
            </w:r>
            <w:proofErr w:type="spellEnd"/>
            <w:r w:rsidRPr="004D0D74">
              <w:rPr>
                <w:sz w:val="24"/>
                <w:szCs w:val="24"/>
                <w:lang w:eastAsia="ar-SA"/>
              </w:rPr>
              <w:t xml:space="preserve"> краски. 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w:t>
            </w:r>
          </w:p>
          <w:p w14:paraId="527D4412" w14:textId="77777777" w:rsidR="004D0D74" w:rsidRPr="004D0D74" w:rsidRDefault="004D0D74" w:rsidP="004D0D74">
            <w:pPr>
              <w:jc w:val="both"/>
              <w:rPr>
                <w:sz w:val="24"/>
                <w:szCs w:val="24"/>
                <w:lang w:eastAsia="ar-SA"/>
              </w:rPr>
            </w:pPr>
            <w:r w:rsidRPr="004D0D74">
              <w:rPr>
                <w:sz w:val="24"/>
                <w:szCs w:val="24"/>
                <w:lang w:eastAsia="ar-SA"/>
              </w:rPr>
              <w:t xml:space="preserve">Маркировка упаковки впитывающих простыней (пеленок) должна включать: условное обозначение группы впитывающих простыней (пеленок), товарную марку, обозначение размера товара; обозначение </w:t>
            </w:r>
            <w:proofErr w:type="spellStart"/>
            <w:r w:rsidRPr="004D0D74">
              <w:rPr>
                <w:sz w:val="24"/>
                <w:szCs w:val="24"/>
                <w:lang w:eastAsia="ar-SA"/>
              </w:rPr>
              <w:t>впитываемости</w:t>
            </w:r>
            <w:proofErr w:type="spellEnd"/>
            <w:r w:rsidRPr="004D0D74">
              <w:rPr>
                <w:sz w:val="24"/>
                <w:szCs w:val="24"/>
                <w:lang w:eastAsia="ar-SA"/>
              </w:rPr>
              <w:t xml:space="preserve"> товара; страну-изготовителя; наименование предприятия-изготовителя, юридический адрес, товарный знак; отличительные характеристики впитывающих простыней (пеленок)  в соответствии с их техническим исполнением; номер артикула (при наличии); количество товара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товара (при наличии); информацию о сертификации. </w:t>
            </w:r>
          </w:p>
          <w:p w14:paraId="2AA93A03" w14:textId="77777777" w:rsidR="004D0D74" w:rsidRPr="004D0D74" w:rsidRDefault="004D0D74" w:rsidP="004D0D74">
            <w:pPr>
              <w:jc w:val="both"/>
              <w:rPr>
                <w:sz w:val="24"/>
                <w:szCs w:val="24"/>
                <w:lang w:eastAsia="ar-SA"/>
              </w:rPr>
            </w:pPr>
            <w:r w:rsidRPr="004D0D74">
              <w:rPr>
                <w:sz w:val="24"/>
                <w:szCs w:val="24"/>
                <w:lang w:eastAsia="ar-SA"/>
              </w:rPr>
              <w:t>Впитывающие простыни (пеленки) по несколько штук упаковывают в пакеты из полимерной пленки или пачки, или коробки, или другую тару, обеспечивающую их сохранность при транспортировании и хранении. Швы в пакетах из полимерной пленки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Сырье и материалы для изготовления абсорбирующего белья,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Абсорбирующее белье, впитывающие простыни (пеленки) должны соответствовать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Абсорбирующее белье должно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431" w:type="pct"/>
          </w:tcPr>
          <w:p w14:paraId="392345E7" w14:textId="77777777" w:rsidR="004D0D74" w:rsidRPr="004D0D74" w:rsidRDefault="004D0D74" w:rsidP="004D0D74">
            <w:pPr>
              <w:jc w:val="center"/>
              <w:rPr>
                <w:sz w:val="24"/>
                <w:szCs w:val="24"/>
                <w:lang w:eastAsia="ar-SA"/>
              </w:rPr>
            </w:pPr>
            <w:r w:rsidRPr="004D0D74">
              <w:rPr>
                <w:sz w:val="24"/>
                <w:szCs w:val="24"/>
                <w:lang w:eastAsia="ar-SA"/>
              </w:rPr>
              <w:t>31 368</w:t>
            </w:r>
          </w:p>
        </w:tc>
        <w:tc>
          <w:tcPr>
            <w:tcW w:w="239" w:type="pct"/>
          </w:tcPr>
          <w:p w14:paraId="193D8D55" w14:textId="77777777" w:rsidR="004D0D74" w:rsidRPr="004D0D74" w:rsidRDefault="004D0D74" w:rsidP="004D0D74">
            <w:pPr>
              <w:jc w:val="center"/>
              <w:rPr>
                <w:sz w:val="24"/>
                <w:szCs w:val="24"/>
                <w:lang w:eastAsia="ar-SA"/>
              </w:rPr>
            </w:pPr>
            <w:r w:rsidRPr="004D0D74">
              <w:rPr>
                <w:sz w:val="24"/>
                <w:szCs w:val="24"/>
                <w:lang w:eastAsia="ar-SA"/>
              </w:rPr>
              <w:t>Шт.</w:t>
            </w:r>
          </w:p>
        </w:tc>
        <w:tc>
          <w:tcPr>
            <w:tcW w:w="432" w:type="pct"/>
          </w:tcPr>
          <w:p w14:paraId="6963A442" w14:textId="77777777" w:rsidR="004D0D74" w:rsidRPr="004D0D74" w:rsidRDefault="004D0D74" w:rsidP="004D0D74">
            <w:pPr>
              <w:jc w:val="center"/>
              <w:rPr>
                <w:sz w:val="24"/>
                <w:szCs w:val="24"/>
                <w:lang w:eastAsia="ar-SA"/>
              </w:rPr>
            </w:pPr>
            <w:r w:rsidRPr="004D0D74">
              <w:rPr>
                <w:sz w:val="24"/>
                <w:szCs w:val="24"/>
                <w:lang w:eastAsia="ar-SA"/>
              </w:rPr>
              <w:t>19,21</w:t>
            </w:r>
          </w:p>
        </w:tc>
        <w:tc>
          <w:tcPr>
            <w:tcW w:w="554" w:type="pct"/>
          </w:tcPr>
          <w:p w14:paraId="2EA16287" w14:textId="77777777" w:rsidR="004D0D74" w:rsidRPr="004D0D74" w:rsidRDefault="004D0D74" w:rsidP="004D0D74">
            <w:pPr>
              <w:jc w:val="center"/>
              <w:rPr>
                <w:sz w:val="24"/>
                <w:szCs w:val="24"/>
                <w:lang w:eastAsia="ar-SA"/>
              </w:rPr>
            </w:pPr>
            <w:r w:rsidRPr="004D0D74">
              <w:rPr>
                <w:sz w:val="24"/>
                <w:szCs w:val="24"/>
                <w:lang w:eastAsia="ar-SA"/>
              </w:rPr>
              <w:t>602 579,28</w:t>
            </w:r>
          </w:p>
        </w:tc>
      </w:tr>
      <w:tr w:rsidR="004D0D74" w:rsidRPr="004D0D74" w14:paraId="7E9BB156" w14:textId="77777777" w:rsidTr="004D0D74">
        <w:tc>
          <w:tcPr>
            <w:tcW w:w="220" w:type="pct"/>
          </w:tcPr>
          <w:p w14:paraId="3B2A5497" w14:textId="77777777" w:rsidR="004D0D74" w:rsidRPr="004D0D74" w:rsidRDefault="004D0D74" w:rsidP="004D0D74">
            <w:pPr>
              <w:rPr>
                <w:sz w:val="24"/>
                <w:szCs w:val="24"/>
                <w:lang w:eastAsia="ar-SA"/>
              </w:rPr>
            </w:pPr>
            <w:r w:rsidRPr="004D0D74">
              <w:rPr>
                <w:sz w:val="24"/>
                <w:szCs w:val="24"/>
                <w:lang w:eastAsia="ar-SA"/>
              </w:rPr>
              <w:t>3.</w:t>
            </w:r>
          </w:p>
        </w:tc>
        <w:tc>
          <w:tcPr>
            <w:tcW w:w="595" w:type="pct"/>
          </w:tcPr>
          <w:p w14:paraId="4585A31B" w14:textId="57D2E1FC" w:rsidR="004D0D74" w:rsidRPr="004D0D74" w:rsidRDefault="004D0D74" w:rsidP="004D0D74">
            <w:pPr>
              <w:jc w:val="center"/>
              <w:rPr>
                <w:sz w:val="24"/>
                <w:szCs w:val="24"/>
                <w:lang w:eastAsia="ar-SA"/>
              </w:rPr>
            </w:pPr>
            <w:r w:rsidRPr="004D0D74">
              <w:rPr>
                <w:sz w:val="24"/>
                <w:szCs w:val="24"/>
                <w:lang w:eastAsia="ar-SA"/>
              </w:rPr>
              <w:t>Пеленка впитывающая</w:t>
            </w:r>
          </w:p>
        </w:tc>
        <w:tc>
          <w:tcPr>
            <w:tcW w:w="2529" w:type="pct"/>
          </w:tcPr>
          <w:p w14:paraId="32CF2B56" w14:textId="77777777" w:rsidR="004D0D74" w:rsidRPr="004D0D74" w:rsidRDefault="004D0D74" w:rsidP="004D0D74">
            <w:pPr>
              <w:jc w:val="both"/>
              <w:rPr>
                <w:sz w:val="24"/>
                <w:szCs w:val="24"/>
                <w:lang w:eastAsia="ar-SA"/>
              </w:rPr>
            </w:pPr>
            <w:r w:rsidRPr="004D0D74">
              <w:rPr>
                <w:sz w:val="24"/>
                <w:szCs w:val="24"/>
                <w:lang w:eastAsia="ar-SA"/>
              </w:rPr>
              <w:t>Впитывающие простыни (пеленки) размером не менее 60 x 90 см (</w:t>
            </w:r>
            <w:proofErr w:type="spellStart"/>
            <w:r w:rsidRPr="004D0D74">
              <w:rPr>
                <w:sz w:val="24"/>
                <w:szCs w:val="24"/>
                <w:lang w:eastAsia="ar-SA"/>
              </w:rPr>
              <w:t>впитываемостью</w:t>
            </w:r>
            <w:proofErr w:type="spellEnd"/>
            <w:r w:rsidRPr="004D0D74">
              <w:rPr>
                <w:sz w:val="24"/>
                <w:szCs w:val="24"/>
                <w:lang w:eastAsia="ar-SA"/>
              </w:rPr>
              <w:t xml:space="preserve"> от 1200 до 1900 г).  Абсорбирующее белье, впитывающие простыни (пеленки) должны соответствовать ГОСТ Р 57762-2021, ГОСТ Р 52770-2016, ГОСТ Р </w:t>
            </w:r>
            <w:r w:rsidRPr="004D0D74">
              <w:rPr>
                <w:bCs/>
                <w:sz w:val="24"/>
                <w:szCs w:val="24"/>
                <w:lang w:eastAsia="ar-SA"/>
              </w:rPr>
              <w:t>51632-2021</w:t>
            </w:r>
            <w:r w:rsidRPr="004D0D74">
              <w:rPr>
                <w:sz w:val="24"/>
                <w:szCs w:val="24"/>
                <w:lang w:eastAsia="ar-SA"/>
              </w:rPr>
              <w:t xml:space="preserve">. </w:t>
            </w:r>
          </w:p>
          <w:p w14:paraId="50BE44A1" w14:textId="77777777" w:rsidR="004D0D74" w:rsidRPr="004D0D74" w:rsidRDefault="004D0D74" w:rsidP="004D0D74">
            <w:pPr>
              <w:jc w:val="both"/>
              <w:rPr>
                <w:sz w:val="24"/>
                <w:szCs w:val="24"/>
                <w:lang w:eastAsia="ar-SA"/>
              </w:rPr>
            </w:pPr>
            <w:r w:rsidRPr="004D0D74">
              <w:rPr>
                <w:sz w:val="24"/>
                <w:szCs w:val="24"/>
                <w:lang w:eastAsia="ar-SA"/>
              </w:rPr>
              <w:t xml:space="preserve">Размером длина не менее 60 см, ширина не менее 90 см, </w:t>
            </w:r>
            <w:proofErr w:type="spellStart"/>
            <w:r w:rsidRPr="004D0D74">
              <w:rPr>
                <w:sz w:val="24"/>
                <w:szCs w:val="24"/>
                <w:lang w:eastAsia="ar-SA"/>
              </w:rPr>
              <w:t>впитываемость</w:t>
            </w:r>
            <w:proofErr w:type="spellEnd"/>
            <w:r w:rsidRPr="004D0D74">
              <w:rPr>
                <w:sz w:val="24"/>
                <w:szCs w:val="24"/>
                <w:lang w:eastAsia="ar-SA"/>
              </w:rPr>
              <w:t xml:space="preserve"> от 1200 до 1900 г.</w:t>
            </w:r>
          </w:p>
          <w:p w14:paraId="2E5BABC8" w14:textId="77777777" w:rsidR="004D0D74" w:rsidRPr="004D0D74" w:rsidRDefault="004D0D74" w:rsidP="004D0D74">
            <w:pPr>
              <w:jc w:val="both"/>
              <w:rPr>
                <w:sz w:val="24"/>
                <w:szCs w:val="24"/>
                <w:lang w:eastAsia="ar-SA"/>
              </w:rPr>
            </w:pPr>
            <w:r w:rsidRPr="004D0D74">
              <w:rPr>
                <w:sz w:val="24"/>
                <w:szCs w:val="24"/>
                <w:lang w:eastAsia="ar-SA"/>
              </w:rPr>
              <w:t>Впитывающие простыни (пеленки) должны обеспечивать соблюдение санитарно-гигиенических условий для инвалидов с нарушениями функций выделения.</w:t>
            </w:r>
          </w:p>
          <w:p w14:paraId="0DD9E297" w14:textId="77777777" w:rsidR="004D0D74" w:rsidRPr="004D0D74" w:rsidRDefault="004D0D74" w:rsidP="004D0D74">
            <w:pPr>
              <w:jc w:val="both"/>
              <w:rPr>
                <w:sz w:val="24"/>
                <w:szCs w:val="24"/>
                <w:lang w:eastAsia="ar-SA"/>
              </w:rPr>
            </w:pPr>
            <w:r w:rsidRPr="004D0D74">
              <w:rPr>
                <w:sz w:val="24"/>
                <w:szCs w:val="24"/>
                <w:lang w:eastAsia="ar-SA"/>
              </w:rPr>
              <w:t xml:space="preserve">Впитывающая простыня (пеленка) должна представлять многослойное изделие прямоугольной формы из распушенной целлюлозы, нижний слой материала не пропускающий влагу. В простынях (пеленках) не допускаются следы </w:t>
            </w:r>
            <w:proofErr w:type="spellStart"/>
            <w:r w:rsidRPr="004D0D74">
              <w:rPr>
                <w:sz w:val="24"/>
                <w:szCs w:val="24"/>
                <w:lang w:eastAsia="ar-SA"/>
              </w:rPr>
              <w:t>выщипывания</w:t>
            </w:r>
            <w:proofErr w:type="spellEnd"/>
            <w:r w:rsidRPr="004D0D74">
              <w:rPr>
                <w:sz w:val="24"/>
                <w:szCs w:val="24"/>
                <w:lang w:eastAsia="ar-SA"/>
              </w:rPr>
              <w:t xml:space="preserve"> волокон с поверхности белья и </w:t>
            </w:r>
            <w:proofErr w:type="spellStart"/>
            <w:r w:rsidRPr="004D0D74">
              <w:rPr>
                <w:sz w:val="24"/>
                <w:szCs w:val="24"/>
                <w:lang w:eastAsia="ar-SA"/>
              </w:rPr>
              <w:t>отмарывания</w:t>
            </w:r>
            <w:proofErr w:type="spellEnd"/>
            <w:r w:rsidRPr="004D0D74">
              <w:rPr>
                <w:sz w:val="24"/>
                <w:szCs w:val="24"/>
                <w:lang w:eastAsia="ar-SA"/>
              </w:rPr>
              <w:t xml:space="preserve"> краски. 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w:t>
            </w:r>
          </w:p>
          <w:p w14:paraId="7AD6608B" w14:textId="77777777" w:rsidR="004D0D74" w:rsidRPr="004D0D74" w:rsidRDefault="004D0D74" w:rsidP="004D0D74">
            <w:pPr>
              <w:jc w:val="both"/>
              <w:rPr>
                <w:sz w:val="24"/>
                <w:szCs w:val="24"/>
                <w:lang w:eastAsia="ar-SA"/>
              </w:rPr>
            </w:pPr>
            <w:r w:rsidRPr="004D0D74">
              <w:rPr>
                <w:sz w:val="24"/>
                <w:szCs w:val="24"/>
                <w:lang w:eastAsia="ar-SA"/>
              </w:rPr>
              <w:t xml:space="preserve">Маркировка  упаковки впитывающих простыней (пеленок) должна включать: условное обозначение группы впитывающих простыней (пеленок), товарную марку, обозначение размера товар; обозначение </w:t>
            </w:r>
            <w:proofErr w:type="spellStart"/>
            <w:r w:rsidRPr="004D0D74">
              <w:rPr>
                <w:sz w:val="24"/>
                <w:szCs w:val="24"/>
                <w:lang w:eastAsia="ar-SA"/>
              </w:rPr>
              <w:t>впитываемости</w:t>
            </w:r>
            <w:proofErr w:type="spellEnd"/>
            <w:r w:rsidRPr="004D0D74">
              <w:rPr>
                <w:sz w:val="24"/>
                <w:szCs w:val="24"/>
                <w:lang w:eastAsia="ar-SA"/>
              </w:rPr>
              <w:t xml:space="preserve"> товар; страну-изготовителя; наименование предприятия-изготовителя, юридический адрес, товарный знак; отличительные характеристики впитывающих простыней (пеленок)  в соответствии с их техническим исполнением; номер артикула (при наличии); количество товара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товара (при наличии); информацию о сертификации.</w:t>
            </w:r>
          </w:p>
          <w:p w14:paraId="0D429C5A" w14:textId="77777777" w:rsidR="004D0D74" w:rsidRPr="004D0D74" w:rsidRDefault="004D0D74" w:rsidP="004D0D74">
            <w:pPr>
              <w:jc w:val="both"/>
              <w:rPr>
                <w:sz w:val="24"/>
                <w:szCs w:val="24"/>
                <w:lang w:eastAsia="ar-SA"/>
              </w:rPr>
            </w:pPr>
            <w:r w:rsidRPr="004D0D74">
              <w:rPr>
                <w:sz w:val="24"/>
                <w:szCs w:val="24"/>
                <w:lang w:eastAsia="ar-SA"/>
              </w:rPr>
              <w:t>Впитывающие простыни (пеленки) по несколько штук упаковывают в пакеты из полимерной пленки или пачки, или коробки, или другую тару, обеспечивающую их сохранность при транспортировании и хранении. Швы в пакетах из полимерной пленки должны быть заварены.</w:t>
            </w:r>
          </w:p>
          <w:p w14:paraId="4F74D2E1" w14:textId="77777777" w:rsidR="004D0D74" w:rsidRPr="004D0D74" w:rsidRDefault="004D0D74" w:rsidP="004D0D74">
            <w:pPr>
              <w:jc w:val="both"/>
              <w:rPr>
                <w:sz w:val="24"/>
                <w:szCs w:val="24"/>
                <w:lang w:eastAsia="ar-SA"/>
              </w:rPr>
            </w:pPr>
            <w:r w:rsidRPr="004D0D74">
              <w:rPr>
                <w:sz w:val="24"/>
                <w:szCs w:val="24"/>
                <w:lang w:eastAsia="ar-SA"/>
              </w:rPr>
              <w:t>Транспортирование – любым видом крытого транспорта в соответствии с правилами перевозки грузов, действующими на данном виде транспорта. Сырье и материалы для изготовления абсорбирующего белья,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Абсорбирующее белье, впитывающие простыни (пелёнки) должны соответствовать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Абсорбирующее белье должно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431" w:type="pct"/>
          </w:tcPr>
          <w:p w14:paraId="4FCAE5B1" w14:textId="77777777" w:rsidR="004D0D74" w:rsidRPr="004D0D74" w:rsidRDefault="004D0D74" w:rsidP="004D0D74">
            <w:pPr>
              <w:jc w:val="both"/>
              <w:rPr>
                <w:sz w:val="24"/>
                <w:szCs w:val="24"/>
                <w:lang w:eastAsia="ar-SA"/>
              </w:rPr>
            </w:pPr>
            <w:r w:rsidRPr="004D0D74">
              <w:rPr>
                <w:sz w:val="24"/>
                <w:szCs w:val="24"/>
                <w:lang w:eastAsia="ar-SA"/>
              </w:rPr>
              <w:t>1 700 000</w:t>
            </w:r>
          </w:p>
        </w:tc>
        <w:tc>
          <w:tcPr>
            <w:tcW w:w="239" w:type="pct"/>
          </w:tcPr>
          <w:p w14:paraId="35DA9CFB" w14:textId="77777777" w:rsidR="004D0D74" w:rsidRPr="004D0D74" w:rsidRDefault="004D0D74" w:rsidP="004D0D74">
            <w:pPr>
              <w:jc w:val="center"/>
              <w:rPr>
                <w:sz w:val="24"/>
                <w:szCs w:val="24"/>
                <w:lang w:eastAsia="ar-SA"/>
              </w:rPr>
            </w:pPr>
            <w:r w:rsidRPr="004D0D74">
              <w:rPr>
                <w:sz w:val="24"/>
                <w:szCs w:val="24"/>
                <w:lang w:eastAsia="ar-SA"/>
              </w:rPr>
              <w:t>Шт.</w:t>
            </w:r>
          </w:p>
        </w:tc>
        <w:tc>
          <w:tcPr>
            <w:tcW w:w="432" w:type="pct"/>
          </w:tcPr>
          <w:p w14:paraId="1EC50F52" w14:textId="77777777" w:rsidR="004D0D74" w:rsidRPr="004D0D74" w:rsidRDefault="004D0D74" w:rsidP="004D0D74">
            <w:pPr>
              <w:jc w:val="center"/>
              <w:rPr>
                <w:sz w:val="24"/>
                <w:szCs w:val="24"/>
                <w:lang w:eastAsia="ar-SA"/>
              </w:rPr>
            </w:pPr>
            <w:r w:rsidRPr="004D0D74">
              <w:rPr>
                <w:sz w:val="24"/>
                <w:szCs w:val="24"/>
                <w:lang w:eastAsia="ar-SA"/>
              </w:rPr>
              <w:t>19,53</w:t>
            </w:r>
          </w:p>
        </w:tc>
        <w:tc>
          <w:tcPr>
            <w:tcW w:w="554" w:type="pct"/>
          </w:tcPr>
          <w:p w14:paraId="08E970DE" w14:textId="77777777" w:rsidR="004D0D74" w:rsidRPr="004D0D74" w:rsidRDefault="004D0D74" w:rsidP="004D0D74">
            <w:pPr>
              <w:jc w:val="center"/>
              <w:rPr>
                <w:sz w:val="24"/>
                <w:szCs w:val="24"/>
                <w:lang w:eastAsia="ar-SA"/>
              </w:rPr>
            </w:pPr>
            <w:r w:rsidRPr="004D0D74">
              <w:rPr>
                <w:sz w:val="24"/>
                <w:szCs w:val="24"/>
                <w:lang w:eastAsia="ar-SA"/>
              </w:rPr>
              <w:t xml:space="preserve">33 201 000,00 </w:t>
            </w:r>
          </w:p>
        </w:tc>
      </w:tr>
      <w:tr w:rsidR="004D0D74" w:rsidRPr="004D0D74" w14:paraId="447B91CC" w14:textId="77777777" w:rsidTr="004D0D74">
        <w:tc>
          <w:tcPr>
            <w:tcW w:w="3344" w:type="pct"/>
            <w:gridSpan w:val="3"/>
          </w:tcPr>
          <w:p w14:paraId="626D8FAA" w14:textId="0CCA6822" w:rsidR="004D0D74" w:rsidRPr="004D0D74" w:rsidRDefault="004D0D74" w:rsidP="009B0025">
            <w:pPr>
              <w:jc w:val="both"/>
              <w:rPr>
                <w:b/>
                <w:sz w:val="24"/>
                <w:szCs w:val="24"/>
                <w:lang w:eastAsia="ar-SA"/>
              </w:rPr>
            </w:pPr>
            <w:r w:rsidRPr="004D0D74">
              <w:rPr>
                <w:b/>
                <w:sz w:val="24"/>
                <w:szCs w:val="24"/>
                <w:lang w:eastAsia="ar-SA"/>
              </w:rPr>
              <w:t>ИТОГО</w:t>
            </w:r>
            <w:r w:rsidRPr="004D0D74">
              <w:rPr>
                <w:b/>
                <w:sz w:val="24"/>
                <w:szCs w:val="24"/>
                <w:lang w:val="en-US" w:eastAsia="ar-SA"/>
              </w:rPr>
              <w:t>:</w:t>
            </w:r>
          </w:p>
        </w:tc>
        <w:tc>
          <w:tcPr>
            <w:tcW w:w="431" w:type="pct"/>
          </w:tcPr>
          <w:p w14:paraId="202D5882" w14:textId="3A315081" w:rsidR="004D0D74" w:rsidRPr="004D0D74" w:rsidRDefault="004D0D74" w:rsidP="004D0D74">
            <w:pPr>
              <w:jc w:val="center"/>
              <w:rPr>
                <w:b/>
                <w:sz w:val="24"/>
                <w:szCs w:val="24"/>
                <w:lang w:eastAsia="ar-SA"/>
              </w:rPr>
            </w:pPr>
            <w:r w:rsidRPr="004D0D74">
              <w:rPr>
                <w:b/>
                <w:sz w:val="24"/>
                <w:szCs w:val="24"/>
                <w:lang w:eastAsia="ar-SA"/>
              </w:rPr>
              <w:t>1 737 868</w:t>
            </w:r>
          </w:p>
        </w:tc>
        <w:tc>
          <w:tcPr>
            <w:tcW w:w="239" w:type="pct"/>
          </w:tcPr>
          <w:p w14:paraId="06A92E59" w14:textId="57929F94" w:rsidR="004D0D74" w:rsidRPr="004D0D74" w:rsidRDefault="004D0D74" w:rsidP="004D0D74">
            <w:pPr>
              <w:jc w:val="center"/>
              <w:rPr>
                <w:sz w:val="24"/>
                <w:szCs w:val="24"/>
                <w:lang w:eastAsia="ar-SA"/>
              </w:rPr>
            </w:pPr>
          </w:p>
        </w:tc>
        <w:tc>
          <w:tcPr>
            <w:tcW w:w="432" w:type="pct"/>
          </w:tcPr>
          <w:p w14:paraId="2363CBE0" w14:textId="1B77A21B" w:rsidR="004D0D74" w:rsidRPr="004D0D74" w:rsidRDefault="004D0D74" w:rsidP="004D0D74">
            <w:pPr>
              <w:jc w:val="center"/>
              <w:rPr>
                <w:sz w:val="24"/>
                <w:szCs w:val="24"/>
                <w:lang w:eastAsia="ar-SA"/>
              </w:rPr>
            </w:pPr>
          </w:p>
        </w:tc>
        <w:tc>
          <w:tcPr>
            <w:tcW w:w="554" w:type="pct"/>
          </w:tcPr>
          <w:p w14:paraId="4691050D" w14:textId="7F19B7A4" w:rsidR="004D0D74" w:rsidRPr="004D0D74" w:rsidRDefault="004D0D74" w:rsidP="004D0D74">
            <w:pPr>
              <w:jc w:val="center"/>
              <w:rPr>
                <w:b/>
                <w:sz w:val="24"/>
                <w:szCs w:val="24"/>
                <w:lang w:eastAsia="ar-SA"/>
              </w:rPr>
            </w:pPr>
            <w:r w:rsidRPr="004D0D74">
              <w:rPr>
                <w:b/>
                <w:sz w:val="24"/>
                <w:szCs w:val="24"/>
                <w:lang w:eastAsia="ar-SA"/>
              </w:rPr>
              <w:t>33 921 229,28</w:t>
            </w:r>
          </w:p>
        </w:tc>
      </w:tr>
    </w:tbl>
    <w:p w14:paraId="4E85307A" w14:textId="77777777" w:rsidR="004D0D74" w:rsidRPr="004D0D74" w:rsidRDefault="004D0D74" w:rsidP="004D0D74">
      <w:pPr>
        <w:ind w:firstLine="425"/>
        <w:jc w:val="center"/>
        <w:rPr>
          <w:b/>
          <w:bCs/>
          <w:color w:val="auto"/>
          <w:szCs w:val="24"/>
          <w:lang w:eastAsia="ar-SA"/>
        </w:rPr>
      </w:pPr>
    </w:p>
    <w:p w14:paraId="66A1A9D6" w14:textId="77777777" w:rsidR="004D0D74" w:rsidRPr="004D0D74" w:rsidRDefault="004D0D74" w:rsidP="004D0D74">
      <w:pPr>
        <w:ind w:firstLine="425"/>
        <w:jc w:val="center"/>
        <w:rPr>
          <w:b/>
          <w:bCs/>
          <w:color w:val="auto"/>
          <w:szCs w:val="24"/>
          <w:lang w:eastAsia="ar-SA"/>
        </w:rPr>
      </w:pPr>
      <w:r w:rsidRPr="004D0D74">
        <w:rPr>
          <w:b/>
          <w:bCs/>
          <w:color w:val="auto"/>
          <w:szCs w:val="24"/>
          <w:lang w:eastAsia="ar-SA"/>
        </w:rPr>
        <w:t>Требования к месту, условиям, объемам и срокам (периодам) поставки</w:t>
      </w:r>
    </w:p>
    <w:p w14:paraId="2C1A4984" w14:textId="6693040B" w:rsidR="004D0D74" w:rsidRPr="004D0D74" w:rsidRDefault="004D0D74" w:rsidP="004D0D74">
      <w:pPr>
        <w:widowControl w:val="0"/>
        <w:autoSpaceDE w:val="0"/>
        <w:autoSpaceDN w:val="0"/>
        <w:ind w:firstLine="567"/>
        <w:jc w:val="both"/>
        <w:rPr>
          <w:b/>
          <w:color w:val="auto"/>
          <w:sz w:val="23"/>
          <w:szCs w:val="23"/>
          <w:u w:val="single"/>
          <w:lang w:eastAsia="ar-SA"/>
        </w:rPr>
      </w:pPr>
      <w:bookmarkStart w:id="0" w:name="_GoBack"/>
      <w:bookmarkEnd w:id="0"/>
      <w:r w:rsidRPr="004D0D74">
        <w:rPr>
          <w:b/>
          <w:color w:val="auto"/>
          <w:sz w:val="23"/>
          <w:szCs w:val="23"/>
          <w:u w:val="single"/>
          <w:lang w:eastAsia="ar-SA"/>
        </w:rPr>
        <w:t>Сроки поставки товара или завершения работ, либо график оказания услуг:</w:t>
      </w:r>
    </w:p>
    <w:p w14:paraId="4C34F9C6" w14:textId="71B7D353" w:rsidR="004D0D74" w:rsidRPr="004D0D74" w:rsidRDefault="004D0D74" w:rsidP="004D0D74">
      <w:pPr>
        <w:widowControl w:val="0"/>
        <w:autoSpaceDE w:val="0"/>
        <w:autoSpaceDN w:val="0"/>
        <w:ind w:firstLine="567"/>
        <w:jc w:val="both"/>
        <w:rPr>
          <w:color w:val="auto"/>
          <w:sz w:val="23"/>
          <w:szCs w:val="23"/>
        </w:rPr>
      </w:pPr>
      <w:r w:rsidRPr="004D0D74">
        <w:rPr>
          <w:color w:val="auto"/>
          <w:sz w:val="23"/>
          <w:szCs w:val="23"/>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Pr="004D0D74">
        <w:rPr>
          <w:color w:val="auto"/>
          <w:sz w:val="23"/>
          <w:szCs w:val="23"/>
          <w:lang w:eastAsia="en-US"/>
        </w:rPr>
        <w:t>, но не позднее 31.08.2023 года.</w:t>
      </w:r>
    </w:p>
    <w:p w14:paraId="275EF766" w14:textId="77777777" w:rsidR="004D0D74" w:rsidRPr="004D0D74" w:rsidRDefault="004D0D74" w:rsidP="004D0D74">
      <w:pPr>
        <w:ind w:firstLine="567"/>
        <w:jc w:val="both"/>
        <w:rPr>
          <w:color w:val="auto"/>
          <w:sz w:val="23"/>
          <w:szCs w:val="23"/>
          <w:lang w:eastAsia="en-US"/>
        </w:rPr>
      </w:pPr>
      <w:r w:rsidRPr="004D0D74">
        <w:rPr>
          <w:color w:val="auto"/>
          <w:sz w:val="23"/>
          <w:szCs w:val="23"/>
          <w:lang w:eastAsia="en-US"/>
        </w:rPr>
        <w:t>До 20.02.2023 предоставить на склад Поставщика, расположенный на территории Краснодарского края, 50% от общего количества Товара.</w:t>
      </w:r>
    </w:p>
    <w:p w14:paraId="0145CF10" w14:textId="77777777" w:rsidR="004D0D74" w:rsidRPr="004D0D74" w:rsidRDefault="004D0D74" w:rsidP="004D0D74">
      <w:pPr>
        <w:widowControl w:val="0"/>
        <w:autoSpaceDE w:val="0"/>
        <w:autoSpaceDN w:val="0"/>
        <w:ind w:firstLine="567"/>
        <w:jc w:val="both"/>
        <w:rPr>
          <w:color w:val="auto"/>
          <w:szCs w:val="24"/>
        </w:rPr>
      </w:pPr>
      <w:r w:rsidRPr="004D0D74">
        <w:rPr>
          <w:color w:val="auto"/>
          <w:sz w:val="23"/>
          <w:szCs w:val="23"/>
          <w:lang w:eastAsia="en-US"/>
        </w:rPr>
        <w:t>До 20.04.2023 на складе Поставщика, расположенном на территории Краснодарского края, должно быть 100% от общего количества Товара.</w:t>
      </w:r>
    </w:p>
    <w:p w14:paraId="6E254578" w14:textId="77777777" w:rsidR="004D0D74" w:rsidRPr="004D0D74" w:rsidRDefault="004D0D74" w:rsidP="004D0D74">
      <w:pPr>
        <w:ind w:firstLine="567"/>
        <w:jc w:val="both"/>
        <w:rPr>
          <w:color w:val="auto"/>
          <w:szCs w:val="24"/>
          <w:lang w:eastAsia="ar-SA"/>
        </w:rPr>
      </w:pPr>
      <w:r w:rsidRPr="004D0D74">
        <w:rPr>
          <w:color w:val="auto"/>
          <w:szCs w:val="24"/>
          <w:lang w:eastAsia="ar-SA"/>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26E6F054" w14:textId="77777777" w:rsidR="004D0D74" w:rsidRPr="004D0D74" w:rsidRDefault="004D0D74" w:rsidP="004D0D74">
      <w:pPr>
        <w:ind w:firstLine="567"/>
        <w:jc w:val="both"/>
        <w:rPr>
          <w:color w:val="auto"/>
          <w:szCs w:val="24"/>
          <w:lang w:eastAsia="ar-SA"/>
        </w:rPr>
      </w:pPr>
      <w:r w:rsidRPr="004D0D74">
        <w:rPr>
          <w:color w:val="auto"/>
          <w:szCs w:val="24"/>
          <w:lang w:eastAsia="ar-SA"/>
        </w:rPr>
        <w:t>Остаточный срок годности Товара должен составлять не менее 1 (Одного) года со дня подписания Акта приема-передачи Товара получателем.</w:t>
      </w:r>
    </w:p>
    <w:p w14:paraId="4F1C928C" w14:textId="77777777" w:rsidR="004D0D74" w:rsidRPr="004D0D74" w:rsidRDefault="004D0D74" w:rsidP="004D0D74">
      <w:pPr>
        <w:keepLines/>
        <w:widowControl w:val="0"/>
        <w:ind w:firstLine="567"/>
        <w:jc w:val="both"/>
        <w:rPr>
          <w:b/>
          <w:color w:val="auto"/>
          <w:szCs w:val="24"/>
          <w:u w:val="single"/>
          <w:lang w:eastAsia="ar-SA"/>
        </w:rPr>
      </w:pPr>
      <w:r w:rsidRPr="004D0D74">
        <w:rPr>
          <w:b/>
          <w:color w:val="auto"/>
          <w:sz w:val="23"/>
          <w:szCs w:val="23"/>
          <w:u w:val="single"/>
          <w:lang w:eastAsia="ar-SA"/>
        </w:rPr>
        <w:t>Место поставки товара, выполнения работы или оказания услуг</w:t>
      </w:r>
      <w:r w:rsidRPr="004D0D74">
        <w:rPr>
          <w:b/>
          <w:color w:val="auto"/>
          <w:szCs w:val="24"/>
          <w:u w:val="single"/>
          <w:lang w:eastAsia="ar-SA"/>
        </w:rPr>
        <w:t xml:space="preserve"> Краснодарский край:</w:t>
      </w:r>
    </w:p>
    <w:p w14:paraId="2110B475" w14:textId="77777777" w:rsidR="004D0D74" w:rsidRPr="004D0D74" w:rsidRDefault="004D0D74" w:rsidP="004D0D74">
      <w:pPr>
        <w:keepLines/>
        <w:widowControl w:val="0"/>
        <w:ind w:firstLine="567"/>
        <w:jc w:val="both"/>
        <w:rPr>
          <w:color w:val="auto"/>
          <w:szCs w:val="24"/>
          <w:lang w:eastAsia="en-US"/>
        </w:rPr>
      </w:pPr>
      <w:r w:rsidRPr="004D0D74">
        <w:rPr>
          <w:color w:val="auto"/>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18E7B39D" w14:textId="77777777" w:rsidR="004D0D74" w:rsidRPr="004D0D74" w:rsidRDefault="004D0D74" w:rsidP="004D0D74">
      <w:pPr>
        <w:ind w:firstLine="567"/>
        <w:jc w:val="both"/>
        <w:rPr>
          <w:color w:val="auto"/>
          <w:szCs w:val="24"/>
          <w:lang w:eastAsia="ar-SA"/>
        </w:rPr>
      </w:pPr>
      <w:r w:rsidRPr="004D0D74">
        <w:rPr>
          <w:color w:val="auto"/>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4D0D74">
        <w:rPr>
          <w:color w:val="auto"/>
          <w:szCs w:val="24"/>
          <w:lang w:eastAsia="ar-SA"/>
        </w:rPr>
        <w:t xml:space="preserve"> </w:t>
      </w:r>
    </w:p>
    <w:p w14:paraId="0BE24FFA" w14:textId="77777777" w:rsidR="004D0D74" w:rsidRPr="004D0D74" w:rsidRDefault="004D0D74" w:rsidP="004D0D74">
      <w:pPr>
        <w:ind w:firstLine="567"/>
        <w:jc w:val="both"/>
        <w:rPr>
          <w:color w:val="auto"/>
          <w:szCs w:val="24"/>
          <w:lang w:eastAsia="ar-SA"/>
        </w:rPr>
      </w:pPr>
      <w:r w:rsidRPr="004D0D74">
        <w:rPr>
          <w:color w:val="auto"/>
          <w:szCs w:val="24"/>
          <w:lang w:eastAsia="ar-SA"/>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0422D74E" w14:textId="77777777" w:rsidR="004D0D74" w:rsidRPr="004D0D74" w:rsidRDefault="004D0D74" w:rsidP="004D0D74">
      <w:pPr>
        <w:ind w:firstLine="567"/>
        <w:jc w:val="both"/>
        <w:rPr>
          <w:color w:val="auto"/>
          <w:szCs w:val="24"/>
          <w:lang w:eastAsia="ar-SA"/>
        </w:rPr>
      </w:pPr>
      <w:r w:rsidRPr="004D0D74">
        <w:rPr>
          <w:color w:val="auto"/>
          <w:szCs w:val="24"/>
          <w:lang w:eastAsia="ar-SA"/>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30793146" w14:textId="47AA88A1" w:rsidR="004D0D74" w:rsidRPr="00375BFE" w:rsidRDefault="004D0D74" w:rsidP="004D0D74">
      <w:pPr>
        <w:keepLines/>
        <w:widowControl w:val="0"/>
        <w:ind w:firstLine="567"/>
        <w:jc w:val="both"/>
        <w:rPr>
          <w:b/>
          <w:szCs w:val="24"/>
        </w:rPr>
      </w:pPr>
      <w:r w:rsidRPr="004D0D74">
        <w:rPr>
          <w:color w:val="auto"/>
          <w:szCs w:val="24"/>
          <w:lang w:eastAsia="ar-SA"/>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sectPr w:rsidR="004D0D74" w:rsidRPr="00375BFE"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7448524A" w14:textId="77777777" w:rsidR="004D0D74" w:rsidRDefault="004D0D74" w:rsidP="004D0D74">
      <w:pPr>
        <w:pStyle w:val="affff4"/>
      </w:pPr>
      <w:r>
        <w:rPr>
          <w:rStyle w:val="affff6"/>
        </w:rPr>
        <w:footnoteRef/>
      </w:r>
      <w:r>
        <w:t xml:space="preserve"> Не более</w:t>
      </w:r>
    </w:p>
  </w:footnote>
  <w:footnote w:id="2">
    <w:p w14:paraId="1589DDDE" w14:textId="77777777" w:rsidR="004D0D74" w:rsidRDefault="004D0D74" w:rsidP="004D0D74">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C3455"/>
    <w:rsid w:val="000E7E2B"/>
    <w:rsid w:val="000F20C4"/>
    <w:rsid w:val="000F43FB"/>
    <w:rsid w:val="001040CE"/>
    <w:rsid w:val="0011323D"/>
    <w:rsid w:val="001216D3"/>
    <w:rsid w:val="0013772F"/>
    <w:rsid w:val="00163148"/>
    <w:rsid w:val="00172100"/>
    <w:rsid w:val="00194410"/>
    <w:rsid w:val="00194708"/>
    <w:rsid w:val="001967B7"/>
    <w:rsid w:val="001A42DF"/>
    <w:rsid w:val="001B422E"/>
    <w:rsid w:val="001B5335"/>
    <w:rsid w:val="001C02FA"/>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12270"/>
    <w:rsid w:val="00414B6D"/>
    <w:rsid w:val="00431882"/>
    <w:rsid w:val="00433F8E"/>
    <w:rsid w:val="004438E1"/>
    <w:rsid w:val="00451019"/>
    <w:rsid w:val="004542A4"/>
    <w:rsid w:val="0046001A"/>
    <w:rsid w:val="00466B3A"/>
    <w:rsid w:val="0047729F"/>
    <w:rsid w:val="00487CF6"/>
    <w:rsid w:val="004A0413"/>
    <w:rsid w:val="004B339D"/>
    <w:rsid w:val="004B668B"/>
    <w:rsid w:val="004D0D74"/>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6F3D"/>
    <w:rsid w:val="006978FC"/>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5E32"/>
    <w:rsid w:val="00A34808"/>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44FF2"/>
    <w:rsid w:val="00B46BFE"/>
    <w:rsid w:val="00B849FF"/>
    <w:rsid w:val="00B91503"/>
    <w:rsid w:val="00BA552A"/>
    <w:rsid w:val="00BD0741"/>
    <w:rsid w:val="00BD26F7"/>
    <w:rsid w:val="00BD790A"/>
    <w:rsid w:val="00BF1B6F"/>
    <w:rsid w:val="00BF5239"/>
    <w:rsid w:val="00BF7B4A"/>
    <w:rsid w:val="00C131AD"/>
    <w:rsid w:val="00C135FC"/>
    <w:rsid w:val="00C4670A"/>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60570-3922-4273-81F8-68291C91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Кизилова Татьяна Анатольевна</cp:lastModifiedBy>
  <cp:revision>258</cp:revision>
  <dcterms:created xsi:type="dcterms:W3CDTF">2021-12-29T15:28:00Z</dcterms:created>
  <dcterms:modified xsi:type="dcterms:W3CDTF">2022-12-23T11:29:00Z</dcterms:modified>
</cp:coreProperties>
</file>