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8A" w:rsidRDefault="00F46144">
      <w:pPr>
        <w:jc w:val="right"/>
      </w:pPr>
      <w:r>
        <w:t xml:space="preserve">Приложение 1 </w:t>
      </w:r>
    </w:p>
    <w:p w:rsidR="003E6F8A" w:rsidRDefault="00F46144">
      <w:pPr>
        <w:jc w:val="right"/>
      </w:pPr>
      <w:r>
        <w:t>к извещению об осуществлении закупки</w:t>
      </w:r>
    </w:p>
    <w:p w:rsidR="003E6F8A" w:rsidRDefault="003E6F8A">
      <w:pPr>
        <w:jc w:val="right"/>
      </w:pPr>
    </w:p>
    <w:p w:rsidR="00DF7185" w:rsidRDefault="00DF7185" w:rsidP="00DF7185">
      <w:pPr>
        <w:jc w:val="center"/>
        <w:rPr>
          <w:b/>
          <w:lang w:eastAsia="en-US"/>
        </w:rPr>
      </w:pPr>
      <w:r>
        <w:rPr>
          <w:b/>
          <w:lang w:eastAsia="en-US"/>
        </w:rPr>
        <w:t>ОПИСАНИЕ ОБЪЕКТА ЗАКУПКИ</w:t>
      </w:r>
    </w:p>
    <w:p w:rsidR="00DF7185" w:rsidRDefault="00DF7185" w:rsidP="00DF7185">
      <w:pPr>
        <w:jc w:val="both"/>
        <w:rPr>
          <w:lang w:eastAsia="en-US"/>
        </w:rPr>
      </w:pPr>
    </w:p>
    <w:p w:rsidR="00DF7185" w:rsidRDefault="00DF7185" w:rsidP="00DF7185">
      <w:pPr>
        <w:rPr>
          <w:lang w:eastAsia="en-US"/>
        </w:rPr>
      </w:pPr>
      <w:r>
        <w:rPr>
          <w:b/>
          <w:bCs/>
          <w:lang w:eastAsia="en-US"/>
        </w:rPr>
        <w:t xml:space="preserve">Наименование объекта закупки: </w:t>
      </w:r>
      <w:r>
        <w:rPr>
          <w:lang w:eastAsia="en-US"/>
        </w:rPr>
        <w:t xml:space="preserve">выполнение работ по изготовлению </w:t>
      </w:r>
      <w:r>
        <w:t>ортопедической обуви сложной в 2024 году.</w:t>
      </w:r>
    </w:p>
    <w:p w:rsidR="00DF7185" w:rsidRDefault="00DF7185" w:rsidP="00DF7185">
      <w:pPr>
        <w:tabs>
          <w:tab w:val="left" w:pos="851"/>
          <w:tab w:val="left" w:pos="993"/>
        </w:tabs>
        <w:rPr>
          <w:color w:val="000000"/>
          <w:lang w:eastAsia="ru-RU"/>
        </w:rPr>
      </w:pPr>
      <w:r>
        <w:rPr>
          <w:b/>
          <w:color w:val="000000"/>
        </w:rPr>
        <w:t xml:space="preserve">Место выполнения работ: </w:t>
      </w:r>
      <w:r>
        <w:rPr>
          <w:color w:val="000000"/>
        </w:rPr>
        <w:t xml:space="preserve">Российская Федерация, по месту нахождения </w:t>
      </w:r>
      <w:r w:rsidR="00F46144">
        <w:rPr>
          <w:color w:val="000000"/>
        </w:rPr>
        <w:t>Исполнителя</w:t>
      </w:r>
      <w:r>
        <w:rPr>
          <w:color w:val="000000"/>
        </w:rPr>
        <w:t>.</w:t>
      </w:r>
    </w:p>
    <w:p w:rsidR="00DF7185" w:rsidRDefault="00DF7185" w:rsidP="00DF7185">
      <w:pPr>
        <w:rPr>
          <w:bCs/>
          <w:lang w:eastAsia="en-US"/>
        </w:rPr>
      </w:pPr>
      <w:r>
        <w:rPr>
          <w:b/>
          <w:bCs/>
          <w:lang w:eastAsia="en-US"/>
        </w:rPr>
        <w:t xml:space="preserve">Требования к количеству: </w:t>
      </w:r>
      <w:r>
        <w:rPr>
          <w:bCs/>
          <w:lang w:eastAsia="en-US"/>
        </w:rPr>
        <w:t>в соответствии с частью 24 статьи 22 Федерального закона от 05.04.2013 № 44-ФЗ объем подлежащий выполнению работ невозможно определить. Единица измерения – штука.</w:t>
      </w:r>
    </w:p>
    <w:p w:rsidR="00DF7185" w:rsidRDefault="00DF7185" w:rsidP="00DF7185">
      <w:pPr>
        <w:rPr>
          <w:bCs/>
          <w:lang w:eastAsia="en-US"/>
        </w:rPr>
      </w:pPr>
      <w:r>
        <w:rPr>
          <w:bCs/>
          <w:lang w:eastAsia="en-US"/>
        </w:rPr>
        <w:t>Объем выполняемых работ определяется на основании заявок Заказчика в соответствии с потребностью.</w:t>
      </w:r>
    </w:p>
    <w:p w:rsidR="00DF7185" w:rsidRDefault="00DF7185" w:rsidP="00DF7185">
      <w:pPr>
        <w:tabs>
          <w:tab w:val="left" w:pos="851"/>
          <w:tab w:val="left" w:pos="1134"/>
          <w:tab w:val="left" w:pos="1276"/>
        </w:tabs>
        <w:outlineLvl w:val="0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</w:rPr>
        <w:t>Сведения об объекте закупки: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702"/>
        <w:gridCol w:w="1985"/>
        <w:gridCol w:w="6093"/>
      </w:tblGrid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keepNext/>
              <w:spacing w:before="120" w:after="12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keepNext/>
              <w:spacing w:before="120" w:after="12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товара, работы,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keepNext/>
              <w:spacing w:before="120" w:after="120" w:line="25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Номер вида технического средства реабилитации (изделия) и его наименования в соответствии с Классификацией технических средств реабилитации (изделий)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keepNext/>
              <w:spacing w:before="120" w:after="120"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Характеристики*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32.50.22.154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32.50.22.150-00000006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9-01-03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Ортопедическая обувь на протезы при двусторонней ампутации нижних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конечностей  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пара)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napToGrid w:val="0"/>
              <w:spacing w:line="200" w:lineRule="atLeast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Обувь   изготавливается индивидуально для каждого конкретного инвалида по индивидуальным параметрам.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Изготовление обуви – по обмерам с подгонкой колодки.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 xml:space="preserve">- Ботинки подростковые, детские,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малодетские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, школьные (для мальчиков, девочек) на протез,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 xml:space="preserve">- полуботинки подростковые, детские,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малодетские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, школьные (для мальчиков, девочек) на протез,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 xml:space="preserve">- туфли подростковые, детские,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малодетские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, школьные (для мальчиков, девочек) на протез.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Cs/>
                <w:color w:val="000000"/>
                <w:sz w:val="20"/>
                <w:szCs w:val="20"/>
                <w:lang w:eastAsia="ar-SA"/>
              </w:rPr>
              <w:t xml:space="preserve">Исполнитель работ должен обеспечить инвалида обувью согласно медицинским показаниям и индивидуальной потребности. </w:t>
            </w: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подклада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 xml:space="preserve"> обуви - кожа натуральная, материал подошвы – резины микропористые подошвенные и литые подошвы.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32.50.22.150-00000006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9-01-03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Ортопедическая обувь на протезы при двусторонней ампутации нижних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конечностей  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пара)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napToGrid w:val="0"/>
              <w:spacing w:line="200" w:lineRule="atLeast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Обувь   изготавливается индивидуально для каждого конкретного инвалида по индивидуальным параметрам.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Изготовление обуви – по обмерам с подгонкой колодки.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- Ботинки женские, мужские на протез,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- полуботинки женские, мужские на протез,</w:t>
            </w:r>
          </w:p>
          <w:p w:rsidR="00DF7185" w:rsidRDefault="00DF7185">
            <w:pPr>
              <w:spacing w:line="200" w:lineRule="atLeast"/>
              <w:jc w:val="both"/>
              <w:rPr>
                <w:rFonts w:eastAsia="Andale Sans U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- туфли женские, мужские на протез.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Cs/>
                <w:color w:val="000000"/>
                <w:sz w:val="20"/>
                <w:szCs w:val="20"/>
                <w:lang w:eastAsia="ar-SA"/>
              </w:rPr>
              <w:t xml:space="preserve">Исполнитель работ должен обеспечить инвалида обувью согласно медицинским показаниям и индивидуальной потребности. </w:t>
            </w:r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>подклада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  <w:lang w:eastAsia="ar-SA"/>
              </w:rPr>
              <w:t xml:space="preserve"> обуви - кожа натуральная, материал подошвы – резины микропористые подошвенные и литые подошвы.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32.50.22.154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32.50.22.150-00000006</w:t>
            </w:r>
          </w:p>
          <w:p w:rsidR="00DF7185" w:rsidRDefault="00DF7185">
            <w:pPr>
              <w:keepNext/>
              <w:keepLines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9-01-04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autoSpaceDN w:val="0"/>
              <w:spacing w:line="256" w:lineRule="auto"/>
              <w:jc w:val="both"/>
              <w:textAlignment w:val="baseline"/>
              <w:rPr>
                <w:rFonts w:eastAsia="SimSun"/>
                <w:bCs/>
                <w:kern w:val="3"/>
                <w:sz w:val="20"/>
                <w:szCs w:val="20"/>
                <w:lang w:eastAsia="en-US" w:bidi="hi-IN"/>
              </w:rPr>
            </w:pPr>
            <w:r>
              <w:rPr>
                <w:rFonts w:eastAsia="SimSun"/>
                <w:bCs/>
                <w:kern w:val="3"/>
                <w:sz w:val="20"/>
                <w:szCs w:val="20"/>
                <w:lang w:eastAsia="en-US" w:bidi="hi-IN"/>
              </w:rPr>
              <w:t>Ортопедическая обувь сложная на аппарат детская должна изготавливаться по слепкам или обмерам с подгонкой колодки. Обувь должна изготавливаться индивидуально для каждого конкретного инвалида по индивидуальным параметрам. Исполнитель работ должен обеспечить инвалида любым из перечисленных видов обуви согласно индивидуальным и медицинским показаниям:</w:t>
            </w:r>
          </w:p>
          <w:p w:rsidR="00DF7185" w:rsidRDefault="00DF7185">
            <w:pPr>
              <w:spacing w:line="256" w:lineRule="auto"/>
              <w:jc w:val="both"/>
              <w:rPr>
                <w:rFonts w:eastAsia="Andale Sans UI"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3"/>
                <w:sz w:val="20"/>
                <w:szCs w:val="20"/>
                <w:lang w:eastAsia="en-US" w:bidi="hi-IN"/>
              </w:rPr>
              <w:lastRenderedPageBreak/>
              <w:t>–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 xml:space="preserve"> Ботинки </w:t>
            </w:r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 xml:space="preserve">подростковые, детские, </w:t>
            </w:r>
            <w:proofErr w:type="spellStart"/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 xml:space="preserve">, школьные (для мальчиков, девочек) 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на аппарат,</w:t>
            </w:r>
          </w:p>
          <w:p w:rsidR="00DF7185" w:rsidRDefault="00DF7185">
            <w:pPr>
              <w:spacing w:line="256" w:lineRule="auto"/>
              <w:jc w:val="both"/>
              <w:rPr>
                <w:rFonts w:eastAsia="Andale Sans UI"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3"/>
                <w:sz w:val="20"/>
                <w:szCs w:val="20"/>
                <w:lang w:eastAsia="en-US" w:bidi="hi-IN"/>
              </w:rPr>
              <w:t>–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 xml:space="preserve"> Полуботинки </w:t>
            </w:r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 xml:space="preserve">подростковые, детские, </w:t>
            </w:r>
            <w:proofErr w:type="spellStart"/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>, школьные (для мальчиков, девочек)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 xml:space="preserve"> на аппарат.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sz w:val="20"/>
                <w:szCs w:val="20"/>
                <w:lang w:eastAsia="en-US"/>
              </w:rPr>
              <w:t xml:space="preserve">Материал верха обуви – натуральная кожа (различных цветов), материал </w:t>
            </w:r>
            <w:proofErr w:type="spellStart"/>
            <w:r>
              <w:rPr>
                <w:rFonts w:eastAsia="Andale Sans UI"/>
                <w:sz w:val="20"/>
                <w:szCs w:val="20"/>
                <w:lang w:eastAsia="en-US"/>
              </w:rPr>
              <w:t>подклада</w:t>
            </w:r>
            <w:proofErr w:type="spellEnd"/>
            <w:r>
              <w:rPr>
                <w:rFonts w:eastAsia="Andale Sans UI"/>
                <w:sz w:val="20"/>
                <w:szCs w:val="20"/>
                <w:lang w:eastAsia="en-US"/>
              </w:rPr>
              <w:t xml:space="preserve"> холодной обуви - кожа натуральная, текстиль (в зависимости от индивидуальной потребности инвалида, в наличии должны быть представлены все материалы), материал подошвы – резины микропористые подошвенные и литые подошвы</w:t>
            </w:r>
            <w:r>
              <w:rPr>
                <w:rFonts w:eastAsia="Arial"/>
                <w:sz w:val="20"/>
                <w:szCs w:val="20"/>
                <w:lang w:eastAsia="en-US"/>
              </w:rPr>
              <w:t>.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32.50.22.150-00000006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9-01-04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pacing w:line="25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Ортопедическая обувь сложная на ортопедический аппарат мужская или женская должна изготавливаться по слепкам или обмерам с подгонкой колодки. Обувь должна быть изготовлена индивидуально для каждого конкретного инвалида по индивидуальным параметрам. 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 работ должен обеспечить инвалида любым из перечисленных видов обуви согласно индивидуальным и медицинским показаниям: 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Ботинки женские, мужские на аппарат; 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Полуботинки женские, мужские на аппарат. 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верха обуви – натуральная кожа (различных цветов). Материал </w:t>
            </w:r>
            <w:proofErr w:type="spellStart"/>
            <w:r>
              <w:rPr>
                <w:sz w:val="20"/>
                <w:szCs w:val="20"/>
                <w:lang w:eastAsia="en-US"/>
              </w:rPr>
              <w:t>подклада</w:t>
            </w:r>
            <w:proofErr w:type="spellEnd"/>
            <w:r>
              <w:rPr>
                <w:sz w:val="20"/>
                <w:szCs w:val="20"/>
                <w:lang w:eastAsia="en-US"/>
              </w:rPr>
              <w:t> обуви – кожа натуральная, текстиль (в зависимости от индивидуальной потребности инвалида, в наличии должны быть представлены все материалы), Материал подошвы – резины микропористые подошвенные и литые подошвы. 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32.50.22.154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32.50.22.150-00000006</w:t>
            </w:r>
          </w:p>
          <w:p w:rsidR="00DF7185" w:rsidRDefault="00DF7185">
            <w:pPr>
              <w:keepNext/>
              <w:keepLines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9-02-03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autoSpaceDN w:val="0"/>
              <w:spacing w:line="256" w:lineRule="auto"/>
              <w:jc w:val="both"/>
              <w:textAlignment w:val="baseline"/>
              <w:rPr>
                <w:rFonts w:eastAsia="SimSun"/>
                <w:bCs/>
                <w:kern w:val="3"/>
                <w:sz w:val="20"/>
                <w:szCs w:val="20"/>
                <w:lang w:eastAsia="en-US" w:bidi="hi-IN"/>
              </w:rPr>
            </w:pPr>
            <w:r>
              <w:rPr>
                <w:rFonts w:eastAsia="SimSun"/>
                <w:bCs/>
                <w:kern w:val="3"/>
                <w:sz w:val="20"/>
                <w:szCs w:val="20"/>
                <w:lang w:eastAsia="en-US" w:bidi="hi-IN"/>
              </w:rPr>
              <w:t>Ортопедическая обувь сложная на аппарат детская должна быть изготовлена по слепкам или обмерам с подгонкой колодки. Обувь должна быть   изготовлено индивидуально для каждого конкретного инвалида по индивидуальным параметрам. Исполнитель работ   должен обеспечить инвалида любым из перечисленных видов обуви согласно индивидуальным и медицинским показаниям:</w:t>
            </w:r>
          </w:p>
          <w:p w:rsidR="00DF7185" w:rsidRDefault="00DF7185">
            <w:pPr>
              <w:spacing w:line="256" w:lineRule="auto"/>
              <w:jc w:val="both"/>
              <w:rPr>
                <w:rFonts w:eastAsia="Andale Sans UI"/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3"/>
                <w:sz w:val="20"/>
                <w:szCs w:val="20"/>
                <w:lang w:eastAsia="en-US" w:bidi="hi-IN"/>
              </w:rPr>
              <w:t>–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 xml:space="preserve"> Ботинки утепленные </w:t>
            </w:r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 xml:space="preserve">подростковые, детские, </w:t>
            </w:r>
            <w:proofErr w:type="spellStart"/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20"/>
                <w:szCs w:val="20"/>
                <w:lang w:eastAsia="en-US"/>
              </w:rPr>
              <w:t xml:space="preserve">, школьные (для мальчиков, девочек) 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на аппарат.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sz w:val="20"/>
                <w:szCs w:val="20"/>
                <w:lang w:eastAsia="en-US"/>
              </w:rPr>
              <w:t xml:space="preserve">Материал верха обуви – натуральная кожа (различных цветов), материал </w:t>
            </w:r>
            <w:proofErr w:type="spellStart"/>
            <w:r>
              <w:rPr>
                <w:rFonts w:eastAsia="Andale Sans UI"/>
                <w:sz w:val="20"/>
                <w:szCs w:val="20"/>
                <w:lang w:eastAsia="en-US"/>
              </w:rPr>
              <w:t>подклада</w:t>
            </w:r>
            <w:proofErr w:type="spellEnd"/>
            <w:r>
              <w:rPr>
                <w:rFonts w:eastAsia="Andale Sans UI"/>
                <w:sz w:val="20"/>
                <w:szCs w:val="20"/>
                <w:lang w:eastAsia="en-US"/>
              </w:rPr>
              <w:t xml:space="preserve"> утепленной обуви - мех натуральный или искусственный, шерсть (в зависимости от индивидуальной потребности инвалида), материал подошвы – резины микропористые подошвенные и литые подошвы.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32.50.22.150-00000006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9-02-03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pacing w:line="25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Ортопедическая обувь сложная на ортопедический аппарат мужская или женская   изготавливается по слепкам или обмерам с подгонкой колодки. Обувь   изготавливается индивидуально для каждого конкретного инвалида по индивидуальным параметрам. Исполнитель работ   обеспечит инвалида любым из перечисленных видов обуви согласно индивидуальным и медицинским показаниям: 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Ботинки женские, мужские на утепленной подкладке на аппарат. 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верха обуви – натуральная кожа (различных цветов). Материал </w:t>
            </w:r>
            <w:proofErr w:type="spellStart"/>
            <w:r>
              <w:rPr>
                <w:sz w:val="20"/>
                <w:szCs w:val="20"/>
                <w:lang w:eastAsia="en-US"/>
              </w:rPr>
              <w:t>подклада</w:t>
            </w:r>
            <w:proofErr w:type="spellEnd"/>
            <w:r>
              <w:rPr>
                <w:sz w:val="20"/>
                <w:szCs w:val="20"/>
                <w:lang w:eastAsia="en-US"/>
              </w:rPr>
              <w:t> утепленной обуви – мех натуральный или искусственный, шерсть (в зависимости от индивидуальной потребности инвалида). Материал подошвы – резины микропористые подошвенные и литые подошвы. 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32.50.22.150-00000006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9-02-04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Обувь должна изготавливаться индивидуально для каждого конкретного инвалида по индивидуальным параметрам. Изготовление обуви должно быть осуществлено по обмерам с подгонкой колодки и по слепку.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- Ботинки утепленные женские, мужские на аппарат и обувь на протез должны быть изготовлены согласно медицинским показаниям и индивидуальной потребности. Материал верха обуви должен быть из натуральной кожи (допускается применение различных цветов по желанию инвалида). Материал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подклада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утепленной обуви должен быть из натурального или искусственного меха, шерсти (по желанию инвалида). Материал подошвы должен быть из резины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микропористой подошвенной и литой подошвы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(по желанию инвалида).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Вкладной башмачок для детей-инвалидов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32.50.22.154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 отсутствует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9-01-06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Вкладной башмачок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Предназначается для компенсации отсутствующего сегмента стопы и назначается инвалидам с врожденными или ампутационными дефектами. Конструкция башмачка должна быть с индивидуальными параметрами изготовления   и учитывать анатомо-функциональные особенности инвалида и изготавливаться по медицинским показаниям. Башмачок должен быть изготовлен индивидуально для каждого конкретного инвалида по индивидуальным параметрам с учетом ампутации стопы, как изделие индивидуального назначения. Изготовление башмачка должно быть по слепку. Исполнитель работ должен обеспечить инвалида любым из нижеперечисленных видов вкладных башмачков согласно медицинским показаниям: 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Башмачок вкладной после ампутации переднего отдела стопы; 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Башмачок вкладной после ампутации голени по Пирогову. 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Изделия при использовании не должны вызывать нарушения целостности кожных покровов и кровообращения.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Вкладной башмачок для взрослых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32.50.22.153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КТРУ отсутствует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9-01-06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Вкладной башмачок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Предназначается для компенсации отсутствующего сегмента стопы и назначается инвалидам с врожденными или ампутационными дефектами. Конструкция башмачка должна быть с индивидуальными параметрами изготовления   и учитывать анатомо-функциональные особенности инвалида и изготавливаться по медицинским показаниям. Башмачок должен быть изготовлен индивидуально для каждого конкретного инвалида по индивидуальным параметрам с учетом ампутации стопы, как изделие индивидуального назначения. Изготовление башмачка должно быть по слепку. Исполнитель работ должен обеспечить инвалида любым из нижеперечисленных видов вкладных башмачков согласно медицинским показаниям: 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Башмачок вкладной после ампутации переднего отдела стопы; </w:t>
            </w:r>
          </w:p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Башмачок вкладной после ампутации голени по Пирогову. 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Изделия при использовании не должны вызывать нарушения целостности кожных покровов и кровообращения.</w:t>
            </w:r>
          </w:p>
        </w:tc>
      </w:tr>
      <w:tr w:rsidR="00DF7185" w:rsidTr="00DF718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widowControl w:val="0"/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Ортопедическая обувь малосложная на утепленной подкладке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ОКПД2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32.50.22.155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КТРУ: 32.50.22.150-00000008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9-02-05</w:t>
            </w:r>
          </w:p>
          <w:p w:rsidR="00DF7185" w:rsidRDefault="00DF71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Ортопедическая обувь малосложная на утепленной подкладке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5" w:rsidRDefault="00DF7185">
            <w:pPr>
              <w:spacing w:line="25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Обувь ортопедическая малосложная на утепленной подкладке должна быть ручного или полумеханического производства. Изготовление обуви должно быть с учетом половозрастных групп по индивидуальным обмерам и по индивидуальным колодкам. Материал верха обуви должен быть изготовлен из натуральной кожи (различных цветов). Материал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подклада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- мех натуральный или искусственный, шерсть (в зависимости от индивидуальной потребности инвалида). Обувь должны быть изготовлена с супинатором или пронатором и с невысокой боковой поддержкой на микропористой или формованной подошве.</w:t>
            </w:r>
          </w:p>
        </w:tc>
      </w:tr>
    </w:tbl>
    <w:p w:rsidR="00DF7185" w:rsidRDefault="00DF7185" w:rsidP="00DF7185">
      <w:pPr>
        <w:ind w:firstLine="709"/>
        <w:jc w:val="both"/>
        <w:rPr>
          <w:iCs/>
          <w:sz w:val="22"/>
          <w:lang w:eastAsia="ar-SA"/>
        </w:rPr>
      </w:pPr>
      <w:r>
        <w:rPr>
          <w:i/>
          <w:sz w:val="18"/>
          <w:szCs w:val="18"/>
        </w:rPr>
        <w:t>*Обоснование включения дополнительной информации в сведения о товаре, работе, услуге: в соответствии с требованиями п.1 ч. 1 ст.33 Закона № 44- 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связи с тем, что характеристики, указанные в КТРУ отсутствуют и не позволяют точно определить качественные, функциональные и технические характеристики закупаемого объекта, необходимо в описание объекта закупки указать дополнительную информацию исходя из характеристик, которым должен отвечать закупаемый объект.</w:t>
      </w:r>
    </w:p>
    <w:p w:rsidR="00DF7185" w:rsidRDefault="00DF7185" w:rsidP="00DF7185">
      <w:pPr>
        <w:tabs>
          <w:tab w:val="left" w:pos="851"/>
          <w:tab w:val="left" w:pos="1134"/>
          <w:tab w:val="left" w:pos="1276"/>
        </w:tabs>
        <w:jc w:val="both"/>
        <w:outlineLvl w:val="0"/>
        <w:rPr>
          <w:lang w:eastAsia="ru-RU"/>
        </w:rPr>
      </w:pPr>
    </w:p>
    <w:p w:rsidR="00DF7185" w:rsidRDefault="00DF7185" w:rsidP="00DF7185">
      <w:pPr>
        <w:ind w:firstLine="567"/>
        <w:jc w:val="both"/>
        <w:rPr>
          <w:color w:val="000000"/>
        </w:rPr>
      </w:pPr>
      <w:r>
        <w:rPr>
          <w:b/>
        </w:rPr>
        <w:t>Требования к качеству:</w:t>
      </w:r>
      <w:r>
        <w:t xml:space="preserve"> </w:t>
      </w:r>
      <w:r>
        <w:rPr>
          <w:color w:val="000000"/>
        </w:rPr>
        <w:t>Качество изготавливаемых Изделий должно соответствовать законодательству и государственным стандартам (ГОСТ), действующим на территории Российской Федерации, в том числе:</w:t>
      </w:r>
    </w:p>
    <w:p w:rsidR="00DF7185" w:rsidRDefault="00DF7185" w:rsidP="00DF7185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ind w:left="-284" w:firstLine="426"/>
        <w:contextualSpacing/>
        <w:jc w:val="both"/>
      </w:pPr>
      <w:r>
        <w:t xml:space="preserve"> ГОСТ Р 54407-2020 Национальный стандарт Российской Федерации. Обувь ортопедическая. Общие технические условия;</w:t>
      </w:r>
    </w:p>
    <w:p w:rsidR="00DF7185" w:rsidRDefault="00DF7185" w:rsidP="00DF7185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ind w:left="-284" w:firstLine="426"/>
        <w:contextualSpacing/>
        <w:jc w:val="both"/>
      </w:pPr>
      <w:r>
        <w:t xml:space="preserve"> ГОСТ Р 57761-2023. Национальный стандарт Российской Федерации. Обувь ортопедическая. Термины и определения;</w:t>
      </w:r>
    </w:p>
    <w:p w:rsidR="00DF7185" w:rsidRDefault="00DF7185" w:rsidP="00DF7185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ind w:left="-284" w:firstLine="426"/>
        <w:contextualSpacing/>
        <w:jc w:val="both"/>
      </w:pPr>
      <w:r>
        <w:lastRenderedPageBreak/>
        <w:t xml:space="preserve"> ГОСТ Р 55638-2021. Национальный стандарт Российской Федерации. Услуги по изготовлению ортопедической обуви. Состав и содержание услуг. Требования безопасности;</w:t>
      </w:r>
    </w:p>
    <w:p w:rsidR="00DF7185" w:rsidRDefault="00DF7185" w:rsidP="00DF7185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ind w:left="-284" w:firstLine="426"/>
        <w:contextualSpacing/>
        <w:jc w:val="both"/>
      </w:pPr>
      <w:r>
        <w:t xml:space="preserve"> ГОСТ Р 57890-2020. Национальный стандарт Российской Федерации. Обувь ортопедическая. Номенклатура показателей качества;</w:t>
      </w:r>
    </w:p>
    <w:p w:rsidR="00DF7185" w:rsidRDefault="00DF7185" w:rsidP="00DF7185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line="276" w:lineRule="auto"/>
        <w:ind w:left="-284" w:firstLine="426"/>
        <w:contextualSpacing/>
        <w:jc w:val="both"/>
      </w:pPr>
      <w:r>
        <w:t xml:space="preserve"> ГОСТ Р 59452-2021. Национальный стандарт Российской Федерации. Обувь ортопедическая. Требования к документации и маркировке для обеспечения доступности информации</w:t>
      </w:r>
    </w:p>
    <w:p w:rsidR="00DF7185" w:rsidRDefault="00DF7185" w:rsidP="00DF7185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line="276" w:lineRule="auto"/>
        <w:ind w:left="-284" w:firstLine="426"/>
        <w:contextualSpacing/>
        <w:jc w:val="both"/>
      </w:pPr>
      <w:r>
        <w:t xml:space="preserve"> ГОСТ Р 70674-2023. Национальный стандарт Российской Федерации. Обувь ортопедическая детская. Общие технические условия.</w:t>
      </w:r>
    </w:p>
    <w:p w:rsidR="00DF7185" w:rsidRDefault="00DF7185" w:rsidP="00DF7185">
      <w:pPr>
        <w:widowControl w:val="0"/>
        <w:tabs>
          <w:tab w:val="left" w:pos="0"/>
          <w:tab w:val="left" w:pos="851"/>
          <w:tab w:val="left" w:pos="993"/>
        </w:tabs>
        <w:jc w:val="both"/>
        <w:rPr>
          <w:b/>
        </w:rPr>
      </w:pPr>
      <w:r>
        <w:rPr>
          <w:b/>
        </w:rPr>
        <w:t>Выполнение работ по изготовлению Изделий включает:</w:t>
      </w:r>
    </w:p>
    <w:p w:rsidR="00DF7185" w:rsidRDefault="00DF7185" w:rsidP="00DF7185">
      <w:pPr>
        <w:jc w:val="both"/>
        <w:rPr>
          <w:lang w:eastAsia="ru-RU"/>
        </w:rPr>
      </w:pPr>
      <w:r>
        <w:t xml:space="preserve">- прием, осмотр, обмеры Получателя и примерку/подгонку Изделия осуществляют соответствующие специалисты; </w:t>
      </w:r>
    </w:p>
    <w:p w:rsidR="00DF7185" w:rsidRDefault="00DF7185" w:rsidP="00DF7185">
      <w:r>
        <w:t>- индивидуальное изготовление Изделия;</w:t>
      </w:r>
    </w:p>
    <w:p w:rsidR="00DF7185" w:rsidRDefault="00DF7185" w:rsidP="00DF7185">
      <w:r>
        <w:t xml:space="preserve">- передачу Изделия Получателю; </w:t>
      </w:r>
    </w:p>
    <w:p w:rsidR="00DF7185" w:rsidRDefault="00DF7185" w:rsidP="00DF7185">
      <w:r>
        <w:t>- консультативно-практическую помощь по пользованию Изделием;</w:t>
      </w:r>
    </w:p>
    <w:p w:rsidR="00DF7185" w:rsidRDefault="00DF7185" w:rsidP="00DF7185">
      <w:r>
        <w:t>- ремонт или замену Изделия в период гарантийного срока эксплуатации Изделия за счет Подрядчика.</w:t>
      </w:r>
    </w:p>
    <w:p w:rsidR="00DF7185" w:rsidRDefault="00DF7185" w:rsidP="00DF7185">
      <w:pPr>
        <w:ind w:left="360" w:firstLine="348"/>
        <w:jc w:val="both"/>
      </w:pPr>
      <w:r>
        <w:t>Место приема, осмотра, снятия мерок, примерки/подгонки и получения Изделия определяется по выбору Получателя на территории г. Смоленска и Смоленской области:</w:t>
      </w:r>
    </w:p>
    <w:p w:rsidR="00DF7185" w:rsidRDefault="00DF7185" w:rsidP="00DF7185">
      <w:r>
        <w:t>- по месту жительства (месту пребывания, фактического проживания Получателя);</w:t>
      </w:r>
    </w:p>
    <w:p w:rsidR="00DF7185" w:rsidRDefault="00DF7185" w:rsidP="00DF7185">
      <w:pPr>
        <w:jc w:val="both"/>
      </w:pPr>
      <w:r>
        <w:t xml:space="preserve">- в стационарных пунктах выдачи Изделий, организованных в соответствии с </w:t>
      </w:r>
      <w:hyperlink r:id="rId5" w:history="1">
        <w:r>
          <w:rPr>
            <w:rStyle w:val="ab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F7185" w:rsidRDefault="00DF7185" w:rsidP="00DF7185">
      <w:r>
        <w:rPr>
          <w:b/>
        </w:rPr>
        <w:t xml:space="preserve">Требования к гарантийному сроку: </w:t>
      </w:r>
      <w:r>
        <w:t>гарантийный срок носки обуви устанавливают со дня выдачи обуви потребителю или с начала сезона не менее 30 дней.</w:t>
      </w:r>
    </w:p>
    <w:p w:rsidR="00DF7185" w:rsidRDefault="00DF7185" w:rsidP="00DF7185">
      <w:pPr>
        <w:widowControl w:val="0"/>
        <w:ind w:right="-2"/>
      </w:pPr>
      <w:r>
        <w:t xml:space="preserve">Гарантийные обязательства по гарантийному обслуживанию Изделий осуществляются </w:t>
      </w:r>
      <w:r w:rsidR="00BE1B9B">
        <w:t>Исполнителем</w:t>
      </w:r>
      <w:r>
        <w:t xml:space="preserve"> в период гарантийного срока на Изделия.</w:t>
      </w:r>
    </w:p>
    <w:p w:rsidR="00A65D1C" w:rsidRDefault="00A65D1C" w:rsidP="00A65D1C">
      <w:pPr>
        <w:widowControl w:val="0"/>
        <w:ind w:right="-2" w:firstLine="708"/>
      </w:pPr>
      <w:bookmarkStart w:id="0" w:name="_GoBack"/>
      <w:bookmarkEnd w:id="0"/>
      <w:r w:rsidRPr="00A65D1C">
        <w:t>Срок выполнения работ: с даты получения реестра от Заказчика и по 31.08.2024.</w:t>
      </w:r>
    </w:p>
    <w:p w:rsidR="00DF7185" w:rsidRDefault="00A65D1C" w:rsidP="00A65D1C">
      <w:pPr>
        <w:widowControl w:val="0"/>
        <w:ind w:right="-2"/>
      </w:pPr>
      <w:r>
        <w:tab/>
      </w:r>
      <w:r w:rsidRPr="00A65D1C">
        <w:t>С</w:t>
      </w:r>
      <w:r w:rsidRPr="00170A1B">
        <w:rPr>
          <w:rFonts w:eastAsia="Arial Unicode MS"/>
          <w:b/>
        </w:rPr>
        <w:t xml:space="preserve">рок </w:t>
      </w:r>
      <w:r>
        <w:rPr>
          <w:rFonts w:eastAsia="Arial Unicode MS"/>
          <w:b/>
        </w:rPr>
        <w:t xml:space="preserve">действия/исполнения </w:t>
      </w:r>
      <w:r w:rsidRPr="00170A1B">
        <w:rPr>
          <w:rFonts w:eastAsia="Arial Unicode MS"/>
          <w:b/>
        </w:rPr>
        <w:t>контракта</w:t>
      </w:r>
      <w:r w:rsidRPr="00A65D1C">
        <w:t>: с даты заключения по 01 октября 2024 года.</w:t>
      </w:r>
    </w:p>
    <w:sectPr w:rsidR="00DF7185">
      <w:pgSz w:w="11906" w:h="16838"/>
      <w:pgMar w:top="1134" w:right="707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61D48"/>
    <w:multiLevelType w:val="multilevel"/>
    <w:tmpl w:val="19C060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A0A181A"/>
    <w:multiLevelType w:val="hybridMultilevel"/>
    <w:tmpl w:val="13E822A8"/>
    <w:lvl w:ilvl="0" w:tplc="090C916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8A"/>
    <w:rsid w:val="003E6F8A"/>
    <w:rsid w:val="00A65D1C"/>
    <w:rsid w:val="00BE1B9B"/>
    <w:rsid w:val="00DF7185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A3A2-994B-4672-8E2C-9A659D29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3C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0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qFormat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0"/>
    <w:qFormat/>
    <w:rsid w:val="00DA3CD7"/>
    <w:pPr>
      <w:ind w:firstLine="709"/>
      <w:jc w:val="center"/>
    </w:pPr>
    <w:rPr>
      <w:b/>
      <w:iCs/>
      <w:sz w:val="28"/>
      <w:szCs w:val="28"/>
    </w:rPr>
  </w:style>
  <w:style w:type="paragraph" w:styleId="a9">
    <w:name w:val="Normal (Web)"/>
    <w:basedOn w:val="a0"/>
    <w:uiPriority w:val="99"/>
    <w:qFormat/>
    <w:rsid w:val="00DA3CD7"/>
    <w:pPr>
      <w:suppressAutoHyphens w:val="0"/>
    </w:pPr>
    <w:rPr>
      <w:lang w:eastAsia="ru-RU"/>
    </w:rPr>
  </w:style>
  <w:style w:type="paragraph" w:styleId="aa">
    <w:name w:val="No Spacing"/>
    <w:uiPriority w:val="1"/>
    <w:qFormat/>
    <w:rsid w:val="00BE4B3D"/>
    <w:pPr>
      <w:widowControl w:val="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DF7185"/>
    <w:rPr>
      <w:color w:val="0563C1" w:themeColor="hyperlink"/>
      <w:u w:val="single"/>
    </w:rPr>
  </w:style>
  <w:style w:type="character" w:customStyle="1" w:styleId="ac">
    <w:name w:val="тире Знак"/>
    <w:link w:val="a"/>
    <w:uiPriority w:val="99"/>
    <w:locked/>
    <w:rsid w:val="00DF71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тире"/>
    <w:basedOn w:val="a0"/>
    <w:link w:val="ac"/>
    <w:uiPriority w:val="99"/>
    <w:rsid w:val="00DF7185"/>
    <w:pPr>
      <w:numPr>
        <w:numId w:val="1"/>
      </w:numPr>
      <w:tabs>
        <w:tab w:val="left" w:pos="851"/>
        <w:tab w:val="left" w:pos="993"/>
      </w:tabs>
      <w:spacing w:line="36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8AC294E20EA08D89E3AFFF08CE3CFDA13B020B1FA00F4EE6F88270CCE2801946134F2FEAB2A7E4DA2CA3E0E3DO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Бабарина Татьяна Николаевна</dc:creator>
  <dc:description/>
  <cp:lastModifiedBy>Булыкина Анна Александровна</cp:lastModifiedBy>
  <cp:revision>25</cp:revision>
  <cp:lastPrinted>2024-01-18T18:45:00Z</cp:lastPrinted>
  <dcterms:created xsi:type="dcterms:W3CDTF">2023-10-18T09:17:00Z</dcterms:created>
  <dcterms:modified xsi:type="dcterms:W3CDTF">2024-01-31T14:49:00Z</dcterms:modified>
  <dc:language>ru-RU</dc:language>
</cp:coreProperties>
</file>