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D9" w:rsidRDefault="00160FD9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160FD9" w:rsidRDefault="00160FD9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964BAE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154EBC">
        <w:rPr>
          <w:rFonts w:ascii="Times New Roman" w:hAnsi="Times New Roman" w:cs="Times New Roman"/>
          <w:b/>
          <w:color w:val="000000"/>
        </w:rPr>
        <w:t>ЭА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D77B1C">
        <w:rPr>
          <w:rFonts w:ascii="Times New Roman" w:hAnsi="Times New Roman" w:cs="Times New Roman"/>
          <w:b/>
          <w:color w:val="000000"/>
        </w:rPr>
        <w:t>2</w:t>
      </w:r>
      <w:r w:rsidR="00160FD9">
        <w:rPr>
          <w:rFonts w:ascii="Times New Roman" w:hAnsi="Times New Roman" w:cs="Times New Roman"/>
          <w:b/>
          <w:color w:val="000000"/>
        </w:rPr>
        <w:t>51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041098" w:rsidRDefault="00041098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tbl>
      <w:tblPr>
        <w:tblpPr w:leftFromText="180" w:rightFromText="180" w:vertAnchor="text" w:horzAnchor="margin" w:tblpXSpec="center" w:tblpY="6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9"/>
        <w:gridCol w:w="7371"/>
        <w:gridCol w:w="850"/>
      </w:tblGrid>
      <w:tr w:rsidR="00160FD9" w:rsidRPr="00160FD9" w:rsidTr="00020F5B">
        <w:trPr>
          <w:trHeight w:val="486"/>
        </w:trPr>
        <w:tc>
          <w:tcPr>
            <w:tcW w:w="2689" w:type="dxa"/>
            <w:shd w:val="clear" w:color="auto" w:fill="auto"/>
          </w:tcPr>
          <w:p w:rsidR="00160FD9" w:rsidRPr="00160FD9" w:rsidRDefault="00160FD9" w:rsidP="00160FD9">
            <w:pPr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Кол-во (шт.)</w:t>
            </w:r>
          </w:p>
        </w:tc>
      </w:tr>
      <w:tr w:rsidR="00160FD9" w:rsidRPr="00160FD9" w:rsidTr="00020F5B">
        <w:trPr>
          <w:trHeight w:val="486"/>
        </w:trPr>
        <w:tc>
          <w:tcPr>
            <w:tcW w:w="2689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По Приказу от 13.02.2018г. №86н: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 матрац</w:t>
            </w:r>
          </w:p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полиуретановый</w:t>
            </w:r>
          </w:p>
        </w:tc>
        <w:tc>
          <w:tcPr>
            <w:tcW w:w="7371" w:type="dxa"/>
            <w:shd w:val="clear" w:color="auto" w:fill="auto"/>
          </w:tcPr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Противопролежневые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матрацы должны быть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Может иметь возможность применения инвалидами, получившими значительные ожоги покровов кожи. 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матрац полиуретановый должен быть изготовлен из специального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гипоаллергенного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водонепроницаемого нетоксичного полиуретана, не впитывающего запахи и позволяющего проводить санитарную обработку.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Допустимая нагрузка (вес получателя) на изделие должна быть не менее 120 кг.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матраца не более 10 кг.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матраца: длина х ширина х высота -  должна быть не менее 1900х850х80 мм.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Матрац должен комплектоваться съемным чехлом, который упрощает санобработку. Изделие должно быть уложено в индивидуальную упаковку.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 быть предусмотрено наличие паспорта изделия, гарантийного талона, регистрационного удостоверения, декларации о соответствии (при наличии).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260,00</w:t>
            </w:r>
          </w:p>
        </w:tc>
      </w:tr>
      <w:tr w:rsidR="00160FD9" w:rsidRPr="00160FD9" w:rsidTr="00020F5B">
        <w:trPr>
          <w:trHeight w:val="146"/>
        </w:trPr>
        <w:tc>
          <w:tcPr>
            <w:tcW w:w="2689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Наименование по КТРУ:</w:t>
            </w:r>
          </w:p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Матрас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гелевым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 наполнителем</w:t>
            </w:r>
          </w:p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По Приказу от 13.02.2018г. №86н: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 матрац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гелевый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Противопролежневые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матрацы должны быть предназначены для больных с нарушением функций опорно-двигательного аппарата и нервной системы в целях предотвращения пролежней, развития мацерации кожи, инфицирования кожи при длительном нахождении инвалида в положении лежа.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эффект должен   достигаться путем равномерного распределения давления на участки соприкасающегося тела за счет специальных элементов, заполненных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гелевым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составом. Матрац должен состоять из латекса или полиуретана и комплектоваться специальным чехлом, который упрощает санобработку.  Размер матраца должен быть: длина х ширина х высота - не менее 1900х850х65 мм.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Допустимая нагрузка на изделие (вес получателя) должна быть не менее 120 кг. Вес не более 50 кг.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Изделие должно быть уложено в индивидуальную упаковку. Должно быть предусмотрено наличие паспорта изделия, гарантийного талона, регистрационного удостоверения, декларации о соответствии (при наличии).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160FD9" w:rsidRPr="00160FD9" w:rsidTr="00020F5B">
        <w:trPr>
          <w:trHeight w:val="146"/>
        </w:trPr>
        <w:tc>
          <w:tcPr>
            <w:tcW w:w="2689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Наименование по КТРУ:</w:t>
            </w:r>
          </w:p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противопролежневая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 с надувным матрасом с регулируемым давлением</w:t>
            </w:r>
          </w:p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По Приказу от 13.02.2018г. №86н: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 xml:space="preserve"> матрац воздушный</w:t>
            </w:r>
          </w:p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(с компрессором)</w:t>
            </w:r>
          </w:p>
        </w:tc>
        <w:tc>
          <w:tcPr>
            <w:tcW w:w="7371" w:type="dxa"/>
            <w:shd w:val="clear" w:color="auto" w:fill="auto"/>
          </w:tcPr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матрац ячеистый воздушный с компрессором должен действовать по принципу регулярной смены опорных точек у больного, за счет чего кровообращение не нарушается и достигается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эффект. В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противопролежневые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матрацы воздух должен попадать, распределяясь между отдельными ячейками. Размер матраца в рабочем состоянии должен быть: длина х ширина х высота - не менее 1800х850х60 мм. </w:t>
            </w:r>
            <w:proofErr w:type="spellStart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Противопролежневый</w:t>
            </w:r>
            <w:proofErr w:type="spellEnd"/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матрац должен выдерживать нагрузку (вес Получателя) не менее 120 кг. Компрессор.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Блок питания переменный ток 220В.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Тканевый чехол. 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Вес должен быть не более 10 кг.</w:t>
            </w:r>
          </w:p>
          <w:p w:rsidR="00160FD9" w:rsidRPr="00160FD9" w:rsidRDefault="00160FD9" w:rsidP="00160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Матрац должен быть предназначен для профилактики и лечения пролежней. Камеры матраца, попеременно наполняемые воздухом, должны оказывать массажное воздействие на кожу, подкожную клетчатку и мышцы. Постоянный массаж должен обеспечивать нормальное кровоснабжение, </w:t>
            </w:r>
            <w:r w:rsidRPr="00160FD9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питание и дыхание тканей. Матрац должен быть изготовлен из легко моющегося материала. Должно быть предусмотрено наличие паспорта изделия, гарантийного талона, регистрационного удостоверения, декларации о соответствии (при наличии).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260</w:t>
            </w:r>
            <w:r w:rsidRPr="00160FD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160FD9" w:rsidRPr="00160FD9" w:rsidTr="00020F5B">
        <w:trPr>
          <w:trHeight w:val="200"/>
        </w:trPr>
        <w:tc>
          <w:tcPr>
            <w:tcW w:w="2689" w:type="dxa"/>
            <w:shd w:val="clear" w:color="auto" w:fill="auto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Итого:</w:t>
            </w:r>
          </w:p>
        </w:tc>
        <w:tc>
          <w:tcPr>
            <w:tcW w:w="7371" w:type="dxa"/>
            <w:shd w:val="clear" w:color="auto" w:fill="auto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0FD9" w:rsidRPr="00160FD9" w:rsidRDefault="00160FD9" w:rsidP="00160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0FD9">
              <w:rPr>
                <w:rFonts w:ascii="Times New Roman" w:eastAsia="Times New Roman" w:hAnsi="Times New Roman" w:cs="Times New Roman"/>
                <w:b/>
                <w:lang w:eastAsia="ru-RU"/>
              </w:rPr>
              <w:t>580</w:t>
            </w:r>
          </w:p>
        </w:tc>
      </w:tr>
    </w:tbl>
    <w:p w:rsidR="00160FD9" w:rsidRDefault="00160FD9" w:rsidP="00160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0FD9">
        <w:rPr>
          <w:rFonts w:ascii="Times New Roman" w:eastAsia="Calibri" w:hAnsi="Times New Roman" w:cs="Times New Roman"/>
          <w:b/>
        </w:rPr>
        <w:lastRenderedPageBreak/>
        <w:t xml:space="preserve">Наименование объекта закупки: </w:t>
      </w:r>
      <w:r w:rsidRPr="00160FD9">
        <w:rPr>
          <w:rFonts w:ascii="Times New Roman" w:hAnsi="Times New Roman" w:cs="Times New Roman"/>
        </w:rPr>
        <w:t>На выполнение работ по обеспечению в 2023 году инвалидов и отдельных категорий граждан из числа ветеранов специальной одеждой</w:t>
      </w:r>
    </w:p>
    <w:p w:rsidR="00020F5B" w:rsidRDefault="00020F5B" w:rsidP="00160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FD9" w:rsidRDefault="00160FD9" w:rsidP="00160F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lang w:eastAsia="zh-CN" w:bidi="hi-IN"/>
        </w:rPr>
      </w:pPr>
      <w:bookmarkStart w:id="0" w:name="_GoBack"/>
      <w:bookmarkEnd w:id="0"/>
      <w:r w:rsidRPr="00160FD9">
        <w:rPr>
          <w:rFonts w:ascii="Times New Roman" w:eastAsia="Calibri" w:hAnsi="Times New Roman" w:cs="Times New Roman"/>
          <w:b/>
          <w:bCs/>
          <w:color w:val="000000"/>
          <w:spacing w:val="-1"/>
          <w:lang w:eastAsia="zh-CN" w:bidi="hi-IN"/>
        </w:rPr>
        <w:t>Требования к безопасности товара</w:t>
      </w:r>
    </w:p>
    <w:p w:rsid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               </w:t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Противопролежневые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матрацы должны соответствовать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ГОСТ ISO 10993-1-2021 "Изделия медицинские. Оценка биологического действия медицинских изделий. Часть 1. Оценка и исследования в процессе менеджмента риска",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цитотоксичность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: методы </w:t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in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</w:t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vitro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50444-2020 "Приборы, аппараты и оборудование медицинские. Общие технические требования, ГОСТ Р 50267.0-92 (МЭК 601-1-88) "Изделия медицинские электрические. Часть 1. Общие требования безопасности", ГОСТ IEC 60601-1-1-2011 "Изделия медицинские электрические. Часть 1-1. Общие требования безопасности. Требования безопасности к медицинским электрическим системам", ГОСТ Р МЭК 60601-1-2-2014 "Изделия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испытания".</w:t>
      </w:r>
    </w:p>
    <w:p w:rsidR="00160FD9" w:rsidRP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p w:rsidR="00160FD9" w:rsidRPr="00160FD9" w:rsidRDefault="00160FD9" w:rsidP="00160FD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160FD9">
        <w:rPr>
          <w:rFonts w:ascii="Times New Roman" w:eastAsia="Calibri" w:hAnsi="Times New Roman" w:cs="Times New Roman"/>
          <w:b/>
          <w:bCs/>
          <w:color w:val="000000"/>
          <w:spacing w:val="-1"/>
          <w:lang w:eastAsia="zh-CN" w:bidi="hi-IN"/>
        </w:rPr>
        <w:t>Требования к маркировке, упаковке, отгрузке товара</w:t>
      </w:r>
    </w:p>
    <w:p w:rsidR="00160FD9" w:rsidRP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            </w:t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Противопролежневые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матрацы должны быть новыми (которые не были в употреблении),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160FD9" w:rsidRP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На упаковке должны быть нанесен товарный знак, установленный для предприятия-изготовителя, и маркировка. Каждое изделие должно быть уложено в индивидуальную упаковку, предохраняющую его от повреждений при транспортировке и хранении. В комплект </w:t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противопролежневого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матраца входит само изделие с быстросъемным наружным чехлом на тканевой основе, воздушный компрессор, паспорт с гарантийным талоном на сервисное обслуживание изделия.</w:t>
      </w:r>
    </w:p>
    <w:p w:rsidR="00160FD9" w:rsidRP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ab/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Противопролежневые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матрацы должны иметь установленный производителем срок службы с момента передачи его получателю не менее срока пользования, утвержденного приказом Министерства труда и социальной защиты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05.03.2021 г. № 107н.</w:t>
      </w:r>
    </w:p>
    <w:p w:rsidR="00160FD9" w:rsidRP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p w:rsidR="00160FD9" w:rsidRP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           </w:t>
      </w:r>
      <w:r w:rsidRPr="00160FD9">
        <w:rPr>
          <w:rFonts w:ascii="Times New Roman" w:eastAsia="Calibri" w:hAnsi="Times New Roman" w:cs="Times New Roman"/>
          <w:b/>
          <w:color w:val="000000"/>
          <w:spacing w:val="-1"/>
          <w:lang w:eastAsia="zh-CN" w:bidi="hi-IN"/>
        </w:rPr>
        <w:t>Гарантийный срок</w:t>
      </w:r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должен составлять не менее 12 (двенадцати) месяцев с момента подписания Получателем акта приема-передачи Товара.</w:t>
      </w:r>
    </w:p>
    <w:p w:rsidR="00160FD9" w:rsidRP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           </w:t>
      </w:r>
      <w:r w:rsidRPr="00160FD9">
        <w:rPr>
          <w:rFonts w:ascii="Times New Roman" w:eastAsia="Calibri" w:hAnsi="Times New Roman" w:cs="Times New Roman"/>
          <w:b/>
          <w:color w:val="000000"/>
          <w:spacing w:val="-1"/>
          <w:lang w:eastAsia="zh-CN" w:bidi="hi-IN"/>
        </w:rPr>
        <w:t>Срок пользования</w:t>
      </w:r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</w:t>
      </w:r>
      <w:proofErr w:type="spellStart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>противопролежневым</w:t>
      </w:r>
      <w:proofErr w:type="spellEnd"/>
      <w:r w:rsidRPr="00160FD9"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  <w:t xml:space="preserve"> матрацем должен составлять не менее 3 лет с даты предоставления его Получателю.</w:t>
      </w:r>
    </w:p>
    <w:p w:rsidR="00160FD9" w:rsidRDefault="00160FD9" w:rsidP="00160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</w:p>
    <w:sectPr w:rsidR="00160FD9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20F5B"/>
    <w:rsid w:val="00041098"/>
    <w:rsid w:val="000623EE"/>
    <w:rsid w:val="000731C0"/>
    <w:rsid w:val="00075FFB"/>
    <w:rsid w:val="000771AC"/>
    <w:rsid w:val="000922A8"/>
    <w:rsid w:val="000F7E24"/>
    <w:rsid w:val="00100004"/>
    <w:rsid w:val="00115188"/>
    <w:rsid w:val="00137850"/>
    <w:rsid w:val="00142CBD"/>
    <w:rsid w:val="0014692A"/>
    <w:rsid w:val="00154EBC"/>
    <w:rsid w:val="00160FD9"/>
    <w:rsid w:val="00165F0C"/>
    <w:rsid w:val="00177A4A"/>
    <w:rsid w:val="00183FA6"/>
    <w:rsid w:val="001B296C"/>
    <w:rsid w:val="001B309E"/>
    <w:rsid w:val="001C0D43"/>
    <w:rsid w:val="001F27C3"/>
    <w:rsid w:val="0020157F"/>
    <w:rsid w:val="002030FD"/>
    <w:rsid w:val="00205119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33D3E"/>
    <w:rsid w:val="00372157"/>
    <w:rsid w:val="00391E99"/>
    <w:rsid w:val="003A5211"/>
    <w:rsid w:val="003D0358"/>
    <w:rsid w:val="003D4690"/>
    <w:rsid w:val="003F7031"/>
    <w:rsid w:val="004001DB"/>
    <w:rsid w:val="00405E30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71CED"/>
    <w:rsid w:val="0058377A"/>
    <w:rsid w:val="00591E8E"/>
    <w:rsid w:val="00594DFB"/>
    <w:rsid w:val="005A613E"/>
    <w:rsid w:val="005B40AD"/>
    <w:rsid w:val="005B533F"/>
    <w:rsid w:val="005D7957"/>
    <w:rsid w:val="005E0656"/>
    <w:rsid w:val="00680608"/>
    <w:rsid w:val="00680E68"/>
    <w:rsid w:val="00697EEB"/>
    <w:rsid w:val="006C4D91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A28D7"/>
    <w:rsid w:val="007A57D3"/>
    <w:rsid w:val="007B79AD"/>
    <w:rsid w:val="007E432B"/>
    <w:rsid w:val="007E455E"/>
    <w:rsid w:val="007E7C31"/>
    <w:rsid w:val="007F5BF7"/>
    <w:rsid w:val="00806A61"/>
    <w:rsid w:val="008144BF"/>
    <w:rsid w:val="008173DB"/>
    <w:rsid w:val="008514B5"/>
    <w:rsid w:val="00894701"/>
    <w:rsid w:val="008C48BA"/>
    <w:rsid w:val="008C5DF8"/>
    <w:rsid w:val="008E5B6A"/>
    <w:rsid w:val="008F0FE6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D2245"/>
    <w:rsid w:val="009E57D3"/>
    <w:rsid w:val="009E7BF6"/>
    <w:rsid w:val="00A35FFE"/>
    <w:rsid w:val="00A57899"/>
    <w:rsid w:val="00A61D9E"/>
    <w:rsid w:val="00A708DB"/>
    <w:rsid w:val="00A96CE2"/>
    <w:rsid w:val="00AA13B2"/>
    <w:rsid w:val="00AA39D7"/>
    <w:rsid w:val="00AB336F"/>
    <w:rsid w:val="00AD60E4"/>
    <w:rsid w:val="00AF6EAB"/>
    <w:rsid w:val="00B02EFF"/>
    <w:rsid w:val="00B325DF"/>
    <w:rsid w:val="00B423DF"/>
    <w:rsid w:val="00B747C4"/>
    <w:rsid w:val="00B970FD"/>
    <w:rsid w:val="00BB3EA2"/>
    <w:rsid w:val="00BD5794"/>
    <w:rsid w:val="00C72500"/>
    <w:rsid w:val="00CA5BA0"/>
    <w:rsid w:val="00CE202E"/>
    <w:rsid w:val="00CF444C"/>
    <w:rsid w:val="00D21FC7"/>
    <w:rsid w:val="00D24B77"/>
    <w:rsid w:val="00D24FD5"/>
    <w:rsid w:val="00D75E8A"/>
    <w:rsid w:val="00D77B1C"/>
    <w:rsid w:val="00D828EA"/>
    <w:rsid w:val="00D839D8"/>
    <w:rsid w:val="00DA528D"/>
    <w:rsid w:val="00DC0345"/>
    <w:rsid w:val="00DC21C6"/>
    <w:rsid w:val="00DD16B8"/>
    <w:rsid w:val="00DD6D6A"/>
    <w:rsid w:val="00DE1853"/>
    <w:rsid w:val="00E67908"/>
    <w:rsid w:val="00E8392A"/>
    <w:rsid w:val="00E92D49"/>
    <w:rsid w:val="00EC4199"/>
    <w:rsid w:val="00ED13B0"/>
    <w:rsid w:val="00EF5C2E"/>
    <w:rsid w:val="00F17AB1"/>
    <w:rsid w:val="00F27E41"/>
    <w:rsid w:val="00F76B92"/>
    <w:rsid w:val="00F86F66"/>
    <w:rsid w:val="00F9584C"/>
    <w:rsid w:val="00FA2E34"/>
    <w:rsid w:val="00FB5E88"/>
    <w:rsid w:val="00FD2963"/>
    <w:rsid w:val="00FD74BB"/>
    <w:rsid w:val="00FE459F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05E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B1D8-7264-4A5C-B0ED-2F92D464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285</cp:revision>
  <cp:lastPrinted>2022-10-04T01:37:00Z</cp:lastPrinted>
  <dcterms:created xsi:type="dcterms:W3CDTF">2022-01-20T04:41:00Z</dcterms:created>
  <dcterms:modified xsi:type="dcterms:W3CDTF">2022-10-14T03:15:00Z</dcterms:modified>
</cp:coreProperties>
</file>