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6A" w:rsidRDefault="0085536A" w:rsidP="0085536A">
      <w:pPr>
        <w:jc w:val="both"/>
        <w:rPr>
          <w:b/>
        </w:rPr>
      </w:pPr>
      <w:r>
        <w:rPr>
          <w:b/>
        </w:rPr>
        <w:t>Часть 3. Поставка за 4 квартал 2018 года абсорбирующего белья (впитывающие простыни) для обеспечения инвалидов (для субъектов малого предпринимательства, социально ориентированных некоммерческих организаций)</w:t>
      </w:r>
    </w:p>
    <w:p w:rsidR="0085536A" w:rsidRDefault="0085536A" w:rsidP="0085536A">
      <w:pPr>
        <w:jc w:val="both"/>
        <w:rPr>
          <w:b/>
        </w:rPr>
      </w:pPr>
    </w:p>
    <w:p w:rsidR="0085536A" w:rsidRDefault="0085536A" w:rsidP="0085536A">
      <w:pPr>
        <w:shd w:val="clear" w:color="auto" w:fill="FFFFFF"/>
        <w:jc w:val="both"/>
        <w:rPr>
          <w:b/>
        </w:rPr>
      </w:pPr>
    </w:p>
    <w:tbl>
      <w:tblPr>
        <w:tblW w:w="15015" w:type="dxa"/>
        <w:tblInd w:w="-4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424"/>
        <w:gridCol w:w="3970"/>
        <w:gridCol w:w="3530"/>
        <w:gridCol w:w="3262"/>
      </w:tblGrid>
      <w:tr w:rsidR="0085536A" w:rsidTr="0085536A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Наименование характеристики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Показатель характеристики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36A" w:rsidRDefault="0085536A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Количество Товара</w:t>
            </w:r>
          </w:p>
        </w:tc>
      </w:tr>
      <w:tr w:rsidR="0085536A" w:rsidTr="0085536A">
        <w:trPr>
          <w:trHeight w:val="856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>Впитывающие простыни (пеленки)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6A" w:rsidRDefault="0085536A">
            <w:pPr>
              <w:rPr>
                <w:kern w:val="2"/>
              </w:rPr>
            </w:pPr>
            <w:r>
              <w:t>Размер:</w:t>
            </w:r>
          </w:p>
          <w:p w:rsidR="0085536A" w:rsidRDefault="0085536A">
            <w:r>
              <w:t>Ширина</w:t>
            </w:r>
          </w:p>
          <w:p w:rsidR="0085536A" w:rsidRDefault="0085536A">
            <w:r>
              <w:t>длина</w:t>
            </w:r>
          </w:p>
          <w:p w:rsidR="0085536A" w:rsidRDefault="0085536A">
            <w:pPr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 xml:space="preserve">От 40* </w:t>
            </w:r>
          </w:p>
          <w:p w:rsidR="0085536A" w:rsidRDefault="0085536A">
            <w:r>
              <w:t>до 60* см</w:t>
            </w:r>
          </w:p>
          <w:p w:rsidR="0085536A" w:rsidRDefault="0085536A">
            <w:pPr>
              <w:rPr>
                <w:kern w:val="2"/>
              </w:rPr>
            </w:pPr>
            <w:proofErr w:type="spellStart"/>
            <w:r>
              <w:t>впитываемость</w:t>
            </w:r>
            <w:proofErr w:type="spellEnd"/>
            <w:r>
              <w:t xml:space="preserve"> от 400 мл.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36A" w:rsidRDefault="0085536A">
            <w:pPr>
              <w:jc w:val="center"/>
              <w:rPr>
                <w:kern w:val="2"/>
              </w:rPr>
            </w:pPr>
            <w:r>
              <w:t>штука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jc w:val="center"/>
              <w:rPr>
                <w:kern w:val="2"/>
                <w:lang w:val="en-US"/>
              </w:rPr>
            </w:pPr>
            <w:r>
              <w:rPr>
                <w:lang w:val="en-US"/>
              </w:rPr>
              <w:t>13000</w:t>
            </w:r>
          </w:p>
        </w:tc>
      </w:tr>
      <w:tr w:rsidR="0085536A" w:rsidTr="0085536A">
        <w:trPr>
          <w:trHeight w:val="856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 xml:space="preserve">От 60* </w:t>
            </w:r>
          </w:p>
          <w:p w:rsidR="0085536A" w:rsidRDefault="0085536A">
            <w:r>
              <w:t>до 60* см</w:t>
            </w:r>
          </w:p>
          <w:p w:rsidR="0085536A" w:rsidRDefault="0085536A">
            <w:pPr>
              <w:rPr>
                <w:kern w:val="2"/>
              </w:rPr>
            </w:pPr>
            <w:proofErr w:type="spellStart"/>
            <w:r>
              <w:t>впитываемость</w:t>
            </w:r>
            <w:proofErr w:type="spellEnd"/>
            <w:r>
              <w:t xml:space="preserve"> от 800 мл.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36A" w:rsidRDefault="0085536A">
            <w:pPr>
              <w:jc w:val="center"/>
              <w:rPr>
                <w:kern w:val="2"/>
              </w:rPr>
            </w:pPr>
            <w:r>
              <w:t>штука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jc w:val="center"/>
              <w:rPr>
                <w:kern w:val="2"/>
                <w:lang w:val="en-US"/>
              </w:rPr>
            </w:pPr>
            <w:r>
              <w:rPr>
                <w:lang w:val="en-US"/>
              </w:rPr>
              <w:t>96000</w:t>
            </w:r>
          </w:p>
        </w:tc>
      </w:tr>
      <w:tr w:rsidR="0085536A" w:rsidTr="0085536A">
        <w:trPr>
          <w:trHeight w:val="856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 xml:space="preserve">От 60* </w:t>
            </w:r>
          </w:p>
          <w:p w:rsidR="0085536A" w:rsidRDefault="0085536A">
            <w:r>
              <w:t>до 90* см</w:t>
            </w:r>
          </w:p>
          <w:p w:rsidR="0085536A" w:rsidRDefault="0085536A">
            <w:pPr>
              <w:rPr>
                <w:kern w:val="2"/>
              </w:rPr>
            </w:pPr>
            <w:proofErr w:type="spellStart"/>
            <w:r>
              <w:t>впитываемость</w:t>
            </w:r>
            <w:proofErr w:type="spellEnd"/>
            <w:r>
              <w:t xml:space="preserve"> от 1200 мл.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5536A" w:rsidRDefault="0085536A">
            <w:pPr>
              <w:jc w:val="center"/>
              <w:rPr>
                <w:kern w:val="2"/>
              </w:rPr>
            </w:pPr>
            <w:r>
              <w:t>штука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jc w:val="center"/>
              <w:rPr>
                <w:kern w:val="2"/>
                <w:lang w:val="en-US"/>
              </w:rPr>
            </w:pPr>
            <w:r>
              <w:rPr>
                <w:lang w:val="en-US"/>
              </w:rPr>
              <w:t>755000</w:t>
            </w:r>
          </w:p>
        </w:tc>
      </w:tr>
      <w:tr w:rsidR="0085536A" w:rsidTr="0085536A">
        <w:trPr>
          <w:trHeight w:val="70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6A" w:rsidRDefault="0085536A">
            <w:pPr>
              <w:rPr>
                <w:kern w:val="2"/>
              </w:rPr>
            </w:pPr>
            <w:r>
              <w:t>Требования к качеству товара.</w:t>
            </w:r>
            <w:r>
              <w:tab/>
            </w:r>
          </w:p>
          <w:p w:rsidR="0085536A" w:rsidRDefault="0085536A">
            <w:pPr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proofErr w:type="gramStart"/>
            <w:r>
              <w:t>В</w:t>
            </w:r>
            <w:proofErr w:type="gramEnd"/>
            <w:r>
              <w:t xml:space="preserve">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85536A" w:rsidRDefault="0085536A">
            <w:pPr>
              <w:rPr>
                <w:kern w:val="2"/>
              </w:rPr>
            </w:pPr>
            <w:r>
              <w:t xml:space="preserve">Печатное изображение на впитывающих простынях (пеленках) должно быть четким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пеленок и </w:t>
            </w:r>
            <w:proofErr w:type="spellStart"/>
            <w:r>
              <w:t>отмарывания</w:t>
            </w:r>
            <w:proofErr w:type="spellEnd"/>
            <w:r>
              <w:t xml:space="preserve"> краски.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536A" w:rsidRDefault="0085536A">
            <w:pPr>
              <w:rPr>
                <w:kern w:val="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36A" w:rsidRDefault="0085536A">
            <w:pPr>
              <w:rPr>
                <w:kern w:val="2"/>
              </w:rPr>
            </w:pPr>
          </w:p>
        </w:tc>
      </w:tr>
      <w:tr w:rsidR="0085536A" w:rsidTr="0085536A">
        <w:trPr>
          <w:trHeight w:val="70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pStyle w:val="NormalWeb"/>
            </w:pPr>
            <w:r>
              <w:t>срок годности на момент поставки Товара должен составлять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>не менее 12 (Двенадцати) месяцев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</w:tr>
      <w:tr w:rsidR="0085536A" w:rsidTr="0085536A">
        <w:trPr>
          <w:trHeight w:val="70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>Назначение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 xml:space="preserve">Предназначены для: соблюдения правил личной гигиены; избавления от психологического напряжения и </w:t>
            </w:r>
            <w:r>
              <w:lastRenderedPageBreak/>
              <w:t>чувства дискомфорта лежачих больных.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</w:tr>
      <w:tr w:rsidR="0085536A" w:rsidTr="0085536A">
        <w:trPr>
          <w:trHeight w:val="70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>Способ склейки слоев (швов)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>Верхний и наружный слои спаяны между собой по краям пеленки и удерживают жидкость внутри пеленки.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</w:tr>
      <w:tr w:rsidR="0085536A" w:rsidTr="0085536A">
        <w:trPr>
          <w:trHeight w:val="70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pStyle w:val="NormalWeb"/>
              <w:spacing w:after="0"/>
            </w:pPr>
            <w:r>
              <w:t xml:space="preserve">Верхний слой простыни: материал на основе целлюлозы. Впитывающий слой </w:t>
            </w:r>
            <w:proofErr w:type="gramStart"/>
            <w:r>
              <w:t>–о</w:t>
            </w:r>
            <w:proofErr w:type="gramEnd"/>
            <w:r>
              <w:t>снова с впитывающим веществом.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>Наличие и соответствие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</w:tr>
      <w:tr w:rsidR="0085536A" w:rsidTr="0085536A">
        <w:trPr>
          <w:trHeight w:val="70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pStyle w:val="NormalWeb"/>
              <w:spacing w:after="0"/>
            </w:pPr>
            <w:r>
              <w:t>Нижний слой – пленка полиэтиленовая.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36A" w:rsidRDefault="0085536A">
            <w:pPr>
              <w:rPr>
                <w:kern w:val="2"/>
              </w:rPr>
            </w:pPr>
            <w:r>
              <w:t>Наличие и соответствие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36A" w:rsidRDefault="0085536A">
            <w:pPr>
              <w:widowControl/>
              <w:suppressAutoHyphens w:val="0"/>
              <w:rPr>
                <w:kern w:val="2"/>
              </w:rPr>
            </w:pPr>
          </w:p>
        </w:tc>
      </w:tr>
    </w:tbl>
    <w:p w:rsidR="0085536A" w:rsidRDefault="0085536A" w:rsidP="0085536A">
      <w:pPr>
        <w:ind w:firstLine="709"/>
        <w:jc w:val="both"/>
        <w:rPr>
          <w:rFonts w:eastAsia="Lucida Sans Unicode"/>
          <w:kern w:val="2"/>
        </w:rPr>
      </w:pPr>
    </w:p>
    <w:p w:rsidR="0085536A" w:rsidRDefault="0085536A" w:rsidP="0085536A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 xml:space="preserve">Общие технические характеристики </w:t>
      </w:r>
      <w:r>
        <w:rPr>
          <w:rFonts w:eastAsia="Lucida Sans Unicode"/>
          <w:b/>
          <w:u w:val="single"/>
        </w:rPr>
        <w:t>товара:</w:t>
      </w:r>
    </w:p>
    <w:p w:rsidR="0085536A" w:rsidRDefault="0085536A" w:rsidP="0085536A">
      <w:pPr>
        <w:ind w:firstLine="709"/>
        <w:jc w:val="both"/>
        <w:rPr>
          <w:szCs w:val="22"/>
        </w:rPr>
      </w:pPr>
      <w:r>
        <w:rPr>
          <w:rFonts w:eastAsia="Lucida Sans Unicode"/>
        </w:rPr>
        <w:t xml:space="preserve">Классификация абсорбирующего белья должна соответствовать Национальному стандарту </w:t>
      </w:r>
      <w:r>
        <w:rPr>
          <w:szCs w:val="22"/>
        </w:rPr>
        <w:t xml:space="preserve">ГОСТ </w:t>
      </w:r>
      <w:proofErr w:type="gramStart"/>
      <w:r>
        <w:rPr>
          <w:szCs w:val="22"/>
        </w:rPr>
        <w:t>Р</w:t>
      </w:r>
      <w:proofErr w:type="gramEnd"/>
      <w:r>
        <w:rPr>
          <w:szCs w:val="22"/>
        </w:rPr>
        <w:t xml:space="preserve"> ИСО 9999-2014 "Вспомогательные средства для людей с ограничениями жизнедеятельности. Классификация и терминология".</w:t>
      </w:r>
    </w:p>
    <w:p w:rsidR="0085536A" w:rsidRDefault="0085536A" w:rsidP="0085536A">
      <w:pPr>
        <w:ind w:firstLine="709"/>
        <w:jc w:val="both"/>
        <w:rPr>
          <w:szCs w:val="22"/>
        </w:rPr>
      </w:pPr>
      <w:r>
        <w:rPr>
          <w:szCs w:val="22"/>
        </w:rP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85536A" w:rsidRDefault="0085536A" w:rsidP="0085536A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85536A" w:rsidRDefault="0085536A" w:rsidP="0085536A">
      <w:pPr>
        <w:pStyle w:val="western"/>
        <w:ind w:firstLine="709"/>
      </w:pPr>
      <w:r>
        <w:t>Маркировка упаковки должна включать:</w:t>
      </w:r>
    </w:p>
    <w:p w:rsidR="0085536A" w:rsidRDefault="0085536A" w:rsidP="0085536A">
      <w:pPr>
        <w:pStyle w:val="western"/>
        <w:ind w:firstLine="709"/>
      </w:pPr>
      <w:r>
        <w:t>-условное обозначение группы товара, товарную марку (при наличии)</w:t>
      </w:r>
    </w:p>
    <w:p w:rsidR="0085536A" w:rsidRDefault="0085536A" w:rsidP="0085536A">
      <w:pPr>
        <w:pStyle w:val="western"/>
        <w:ind w:firstLine="709"/>
      </w:pPr>
      <w:r>
        <w:t>-обозначение номера изделия (при наличии)</w:t>
      </w:r>
    </w:p>
    <w:p w:rsidR="0085536A" w:rsidRDefault="0085536A" w:rsidP="0085536A">
      <w:pPr>
        <w:pStyle w:val="western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 (при наличии)</w:t>
      </w:r>
    </w:p>
    <w:p w:rsidR="0085536A" w:rsidRDefault="0085536A" w:rsidP="0085536A">
      <w:pPr>
        <w:pStyle w:val="western"/>
        <w:ind w:firstLine="709"/>
      </w:pPr>
      <w:r>
        <w:t>-страну-изготовителя</w:t>
      </w:r>
    </w:p>
    <w:p w:rsidR="0085536A" w:rsidRDefault="0085536A" w:rsidP="0085536A">
      <w:pPr>
        <w:pStyle w:val="western"/>
        <w:ind w:firstLine="709"/>
      </w:pPr>
      <w:r>
        <w:lastRenderedPageBreak/>
        <w:t>-наименование предприятия-изготовителя, юридический адрес, товарный знак (при наличии)</w:t>
      </w:r>
    </w:p>
    <w:p w:rsidR="0085536A" w:rsidRDefault="0085536A" w:rsidP="0085536A">
      <w:pPr>
        <w:pStyle w:val="western"/>
        <w:ind w:firstLine="709"/>
      </w:pPr>
      <w:r>
        <w:t>-номер артикула (при наличии)</w:t>
      </w:r>
    </w:p>
    <w:p w:rsidR="0085536A" w:rsidRDefault="0085536A" w:rsidP="0085536A">
      <w:pPr>
        <w:pStyle w:val="western"/>
        <w:ind w:firstLine="709"/>
      </w:pPr>
      <w:r>
        <w:t xml:space="preserve">-отличительные характеристики пеленок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85536A" w:rsidRDefault="0085536A" w:rsidP="0085536A">
      <w:pPr>
        <w:pStyle w:val="western"/>
        <w:ind w:firstLine="709"/>
      </w:pPr>
      <w:r>
        <w:t>-количество изделий в упаковке</w:t>
      </w:r>
    </w:p>
    <w:p w:rsidR="0085536A" w:rsidRDefault="0085536A" w:rsidP="0085536A">
      <w:pPr>
        <w:pStyle w:val="western"/>
        <w:ind w:firstLine="709"/>
      </w:pPr>
      <w:r>
        <w:t>-дату (месяц, год) изготовления</w:t>
      </w:r>
    </w:p>
    <w:p w:rsidR="0085536A" w:rsidRDefault="0085536A" w:rsidP="0085536A">
      <w:pPr>
        <w:pStyle w:val="western"/>
        <w:ind w:firstLine="709"/>
      </w:pPr>
      <w:r>
        <w:t>-гарантийный срок годности</w:t>
      </w:r>
    </w:p>
    <w:p w:rsidR="0085536A" w:rsidRDefault="0085536A" w:rsidP="0085536A">
      <w:pPr>
        <w:pStyle w:val="western"/>
        <w:ind w:firstLine="709"/>
      </w:pPr>
      <w:r>
        <w:t>-указание по утилизации: «Не бросать в канализацию»</w:t>
      </w:r>
    </w:p>
    <w:p w:rsidR="0085536A" w:rsidRDefault="0085536A" w:rsidP="0085536A">
      <w:pPr>
        <w:pStyle w:val="western"/>
        <w:ind w:firstLine="709"/>
      </w:pPr>
      <w:r>
        <w:t>-правила использования в виде картинок или текста (при наличии)</w:t>
      </w:r>
    </w:p>
    <w:p w:rsidR="0085536A" w:rsidRDefault="0085536A" w:rsidP="0085536A">
      <w:pPr>
        <w:pStyle w:val="western"/>
        <w:ind w:firstLine="709"/>
      </w:pPr>
      <w:r>
        <w:t>-штриховой код изделия (при наличии)</w:t>
      </w:r>
    </w:p>
    <w:p w:rsidR="0085536A" w:rsidRDefault="0085536A" w:rsidP="0085536A">
      <w:pPr>
        <w:pStyle w:val="western"/>
        <w:ind w:firstLine="709"/>
      </w:pPr>
      <w:r>
        <w:t>-информацию о сертификации (при наличии)</w:t>
      </w:r>
    </w:p>
    <w:p w:rsidR="0085536A" w:rsidRDefault="0085536A" w:rsidP="0085536A">
      <w:pPr>
        <w:pStyle w:val="western"/>
        <w:ind w:firstLine="709"/>
      </w:pPr>
      <w:r>
        <w:t>- иное.</w:t>
      </w:r>
    </w:p>
    <w:p w:rsidR="0085536A" w:rsidRDefault="0085536A" w:rsidP="0085536A">
      <w:pPr>
        <w:ind w:firstLine="709"/>
        <w:jc w:val="both"/>
        <w:rPr>
          <w:rFonts w:eastAsia="Lucida Sans Unicode"/>
          <w:b/>
          <w:bCs/>
          <w:u w:val="single"/>
        </w:rPr>
      </w:pP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качеству и безопасности товара:</w:t>
      </w:r>
    </w:p>
    <w:p w:rsidR="0085536A" w:rsidRDefault="0085536A" w:rsidP="0085536A">
      <w:pPr>
        <w:ind w:firstLine="709"/>
        <w:jc w:val="both"/>
        <w:rPr>
          <w:rFonts w:eastAsia="Lucida Sans Unicode"/>
          <w:color w:val="00000A"/>
        </w:rPr>
      </w:pPr>
      <w:r>
        <w:rPr>
          <w:rFonts w:eastAsia="Lucida Sans Unicode"/>
        </w:rPr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85536A" w:rsidRDefault="0085536A" w:rsidP="0085536A">
      <w:pPr>
        <w:numPr>
          <w:ilvl w:val="0"/>
          <w:numId w:val="27"/>
        </w:numPr>
        <w:tabs>
          <w:tab w:val="clear" w:pos="0"/>
          <w:tab w:val="num" w:pos="432"/>
        </w:tabs>
        <w:spacing w:line="100" w:lineRule="atLeast"/>
        <w:jc w:val="both"/>
        <w:rPr>
          <w:bCs/>
        </w:rPr>
      </w:pPr>
      <w:r>
        <w:rPr>
          <w:bCs/>
        </w:rPr>
        <w:t>Изделия должно соответствовать требованиям государственных стандартов, в том числе:</w:t>
      </w:r>
    </w:p>
    <w:p w:rsidR="0085536A" w:rsidRDefault="0085536A" w:rsidP="0085536A">
      <w:pPr>
        <w:widowControl/>
        <w:numPr>
          <w:ilvl w:val="0"/>
          <w:numId w:val="27"/>
        </w:numPr>
        <w:suppressAutoHyphens w:val="0"/>
        <w:ind w:left="0" w:firstLine="0"/>
        <w:outlineLvl w:val="0"/>
      </w:pPr>
      <w:r>
        <w:t xml:space="preserve">- ГОСТ </w:t>
      </w:r>
      <w:proofErr w:type="gramStart"/>
      <w:r>
        <w:t>Р</w:t>
      </w:r>
      <w:proofErr w:type="gramEnd"/>
      <w:r>
        <w:t xml:space="preserve"> 57762-2017 «Белье абсорбирующее для инвалидов. Общие технические условия»</w:t>
      </w:r>
    </w:p>
    <w:p w:rsidR="0085536A" w:rsidRDefault="0085536A" w:rsidP="0085536A">
      <w:pPr>
        <w:numPr>
          <w:ilvl w:val="0"/>
          <w:numId w:val="27"/>
        </w:numPr>
        <w:tabs>
          <w:tab w:val="clear" w:pos="0"/>
          <w:tab w:val="num" w:pos="432"/>
        </w:tabs>
        <w:jc w:val="both"/>
        <w:rPr>
          <w:bCs/>
        </w:rPr>
      </w:pPr>
      <w:r>
        <w:t>-</w:t>
      </w:r>
      <w:r>
        <w:tab/>
        <w:t xml:space="preserve">ГОСТ </w:t>
      </w:r>
      <w:proofErr w:type="gramStart"/>
      <w:r>
        <w:t>Р</w:t>
      </w:r>
      <w:proofErr w:type="gramEnd"/>
      <w: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85536A" w:rsidRDefault="0085536A" w:rsidP="0085536A">
      <w:pPr>
        <w:numPr>
          <w:ilvl w:val="0"/>
          <w:numId w:val="27"/>
        </w:numPr>
        <w:tabs>
          <w:tab w:val="clear" w:pos="0"/>
          <w:tab w:val="num" w:pos="432"/>
        </w:tabs>
        <w:jc w:val="both"/>
        <w:rPr>
          <w:bCs/>
        </w:rPr>
      </w:pPr>
      <w:r>
        <w:t>-</w:t>
      </w:r>
      <w:r>
        <w:tab/>
        <w:t xml:space="preserve">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85536A" w:rsidRDefault="0085536A" w:rsidP="0085536A">
      <w:pPr>
        <w:numPr>
          <w:ilvl w:val="0"/>
          <w:numId w:val="27"/>
        </w:numPr>
        <w:tabs>
          <w:tab w:val="clear" w:pos="0"/>
          <w:tab w:val="num" w:pos="432"/>
        </w:tabs>
        <w:spacing w:line="100" w:lineRule="atLeast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ГОСТ 31214-2016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>
        <w:rPr>
          <w:bCs/>
        </w:rPr>
        <w:t>пирогенность</w:t>
      </w:r>
      <w:proofErr w:type="spellEnd"/>
      <w:r>
        <w:rPr>
          <w:bCs/>
        </w:rPr>
        <w:t>»;</w:t>
      </w:r>
    </w:p>
    <w:p w:rsidR="0085536A" w:rsidRDefault="0085536A" w:rsidP="0085536A">
      <w:pPr>
        <w:spacing w:line="244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</w:t>
      </w:r>
      <w:r>
        <w:rPr>
          <w:rFonts w:eastAsia="Lucida Sans Unicode"/>
        </w:rPr>
        <w:lastRenderedPageBreak/>
        <w:t>документов при передаче товара.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85536A" w:rsidRDefault="0085536A" w:rsidP="0085536A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rFonts w:eastAsia="Lucida Sans Unicode"/>
        </w:rPr>
        <w:t xml:space="preserve">Печатное изображение на абсорбирующем белье должно быть четким, без искажений и пробелов. Не допускаются следы </w:t>
      </w:r>
      <w:proofErr w:type="spellStart"/>
      <w:r>
        <w:rPr>
          <w:rFonts w:eastAsia="Lucida Sans Unicode"/>
        </w:rPr>
        <w:t>выщипывания</w:t>
      </w:r>
      <w:proofErr w:type="spellEnd"/>
      <w:r>
        <w:rPr>
          <w:rFonts w:eastAsia="Lucida Sans Unicode"/>
        </w:rPr>
        <w:t xml:space="preserve"> волокон с поверхности абсорбирующего белья и </w:t>
      </w:r>
      <w:proofErr w:type="spellStart"/>
      <w:r>
        <w:rPr>
          <w:rFonts w:eastAsia="Lucida Sans Unicode"/>
        </w:rPr>
        <w:t>отмарывания</w:t>
      </w:r>
      <w:proofErr w:type="spellEnd"/>
      <w:r>
        <w:rPr>
          <w:rFonts w:eastAsia="Lucida Sans Unicode"/>
        </w:rPr>
        <w:t xml:space="preserve"> краски.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размерам, упаковке, отгрузке товара: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Абсорбирующее белье должны быть упакованы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заварены.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85536A" w:rsidRDefault="0085536A" w:rsidP="0085536A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85536A" w:rsidRDefault="0085536A" w:rsidP="0085536A"/>
    <w:p w:rsidR="0085536A" w:rsidRDefault="0085536A" w:rsidP="0085536A">
      <w:pPr>
        <w:ind w:firstLine="709"/>
        <w:jc w:val="both"/>
        <w:rPr>
          <w:bCs/>
          <w:kern w:val="16"/>
        </w:rPr>
      </w:pPr>
      <w:r>
        <w:rPr>
          <w:bCs/>
          <w:kern w:val="16"/>
        </w:rPr>
        <w:t>Поставщик обязан:</w:t>
      </w:r>
    </w:p>
    <w:p w:rsidR="0085536A" w:rsidRDefault="0085536A" w:rsidP="0085536A">
      <w:pPr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с даты заключения Контракта. 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Обеспечить выдачу изделий по выбору получателя: </w:t>
      </w:r>
    </w:p>
    <w:p w:rsidR="0085536A" w:rsidRDefault="0085536A" w:rsidP="0085536A">
      <w:pPr>
        <w:widowControl/>
        <w:numPr>
          <w:ilvl w:val="0"/>
          <w:numId w:val="38"/>
        </w:numPr>
        <w:spacing w:line="1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по месту жительства инвалида </w:t>
      </w:r>
    </w:p>
    <w:p w:rsidR="0085536A" w:rsidRDefault="0085536A" w:rsidP="0085536A">
      <w:pPr>
        <w:widowControl/>
        <w:numPr>
          <w:ilvl w:val="0"/>
          <w:numId w:val="38"/>
        </w:numPr>
        <w:spacing w:line="1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в стационарном пункте выдачи товара. 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proofErr w:type="gramStart"/>
      <w:r>
        <w:rPr>
          <w:rFonts w:eastAsia="Lucida Sans Unicode"/>
        </w:rPr>
        <w:t>В течение 10 дней с момента получения Реестра получателей Поставщик обязан предоставить Заказчику график поставки Товара инвалидам по районам Республики Татарстан и г. Казани, при этом Поставщик обязан проинформировать Получателя о дате, времени и месте поставки, не позднее, чем за 3 (три) рабочих дня до момента поставки Товара, с предоставлением Получателям право выбора способа получения Товара (по месту жительства Получателя</w:t>
      </w:r>
      <w:proofErr w:type="gramEnd"/>
      <w:r>
        <w:rPr>
          <w:rFonts w:eastAsia="Lucida Sans Unicode"/>
        </w:rPr>
        <w:t xml:space="preserve">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Вести запись телефонных звонков и предоставить при запросе Заказчику в подтверждение исполнения Контракта. 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смерть,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На момент подписания контракта Пункты выдачи должны быть организованы не менее чем в 6 крупнейших городах РТ. Поставщик обязан организовать на территории Татарстана пункты выдачи Товара Получателям. Не позднее 5 (пяти) рабочих дней с даты заключения настоящего Контракта передать Заказчику в письменном виде список адресов и графиков работы пунктов выдачи Товара. 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иметь режим работы не </w:t>
      </w:r>
      <w:r>
        <w:rPr>
          <w:rFonts w:eastAsia="Lucida Sans Unicode"/>
        </w:rPr>
        <w:lastRenderedPageBreak/>
        <w:t xml:space="preserve">менее чем с 9:00 до 18:00 с понедельника по пятницу. 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Наличие парковочных мест возле Центра выдачи не менее 50-ти.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-Обеспечить предоставление по запросу Заказчика предоставлять материалы съемки - фот</w:t>
      </w:r>
      <w:proofErr w:type="gramStart"/>
      <w:r>
        <w:rPr>
          <w:rFonts w:eastAsia="Lucida Sans Unicode"/>
        </w:rPr>
        <w:t>о-</w:t>
      </w:r>
      <w:proofErr w:type="gramEnd"/>
      <w:r>
        <w:rPr>
          <w:rFonts w:eastAsia="Lucida Sans Unicode"/>
        </w:rPr>
        <w:t xml:space="preserve"> и/или видео- фиксацию факта вручения ТСР. Обеспечить запись телефонных разговоров по каждому Получателю из реестра с подтверждением факта получения технических средств реабилитации. 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реабилитации. Предоставить при запросе Заказчика, материал </w:t>
      </w:r>
      <w:proofErr w:type="gramStart"/>
      <w:r>
        <w:rPr>
          <w:rFonts w:eastAsia="Lucida Sans Unicode"/>
        </w:rPr>
        <w:t>следования автотранспорта доставки изделий системы</w:t>
      </w:r>
      <w:proofErr w:type="gram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Глонасс</w:t>
      </w:r>
      <w:proofErr w:type="spellEnd"/>
      <w:r>
        <w:rPr>
          <w:rFonts w:eastAsia="Lucida Sans Unicode"/>
        </w:rPr>
        <w:t xml:space="preserve">. </w:t>
      </w:r>
      <w:proofErr w:type="gramStart"/>
      <w:r>
        <w:rPr>
          <w:rFonts w:eastAsia="Lucida Sans Unicode"/>
        </w:rPr>
        <w:t>Предоставить Заказчику документы</w:t>
      </w:r>
      <w:proofErr w:type="gramEnd"/>
      <w:r>
        <w:rPr>
          <w:rFonts w:eastAsia="Lucida Sans Unicode"/>
        </w:rPr>
        <w:t xml:space="preserve"> об оборудовании автотранспорта доставки изделий системой </w:t>
      </w:r>
      <w:proofErr w:type="spellStart"/>
      <w:r>
        <w:rPr>
          <w:rFonts w:eastAsia="Lucida Sans Unicode"/>
        </w:rPr>
        <w:t>Глонасс</w:t>
      </w:r>
      <w:proofErr w:type="spellEnd"/>
      <w:r>
        <w:rPr>
          <w:rFonts w:eastAsia="Lucida Sans Unicode"/>
        </w:rPr>
        <w:t xml:space="preserve">, а также о наличии достаточного количества единиц транспорта для развоза изделий из расчета не менее чем 10 единиц. </w:t>
      </w:r>
    </w:p>
    <w:p w:rsidR="0085536A" w:rsidRDefault="0085536A" w:rsidP="0085536A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85536A" w:rsidRDefault="0085536A" w:rsidP="0085536A"/>
    <w:p w:rsidR="009859D0" w:rsidRPr="0085536A" w:rsidRDefault="009859D0" w:rsidP="0085536A">
      <w:bookmarkStart w:id="0" w:name="_GoBack"/>
      <w:bookmarkEnd w:id="0"/>
    </w:p>
    <w:sectPr w:rsidR="009859D0" w:rsidRPr="0085536A" w:rsidSect="0085536A">
      <w:footerReference w:type="even" r:id="rId8"/>
      <w:footerReference w:type="default" r:id="rId9"/>
      <w:pgSz w:w="16838" w:h="11906" w:orient="landscape"/>
      <w:pgMar w:top="1247" w:right="851" w:bottom="680" w:left="851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57" w:rsidRDefault="00B97257">
      <w:r>
        <w:separator/>
      </w:r>
    </w:p>
  </w:endnote>
  <w:endnote w:type="continuationSeparator" w:id="0">
    <w:p w:rsidR="00B97257" w:rsidRDefault="00B9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B97257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8553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57" w:rsidRDefault="00B97257">
      <w:r>
        <w:separator/>
      </w:r>
    </w:p>
  </w:footnote>
  <w:footnote w:type="continuationSeparator" w:id="0">
    <w:p w:rsidR="00B97257" w:rsidRDefault="00B9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6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8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0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3"/>
  </w:num>
  <w:num w:numId="10">
    <w:abstractNumId w:val="12"/>
  </w:num>
  <w:num w:numId="11">
    <w:abstractNumId w:val="21"/>
  </w:num>
  <w:num w:numId="12">
    <w:abstractNumId w:val="22"/>
  </w:num>
  <w:num w:numId="13">
    <w:abstractNumId w:val="34"/>
  </w:num>
  <w:num w:numId="14">
    <w:abstractNumId w:val="8"/>
  </w:num>
  <w:num w:numId="15">
    <w:abstractNumId w:val="10"/>
  </w:num>
  <w:num w:numId="16">
    <w:abstractNumId w:val="25"/>
  </w:num>
  <w:num w:numId="17">
    <w:abstractNumId w:val="5"/>
  </w:num>
  <w:num w:numId="18">
    <w:abstractNumId w:val="32"/>
  </w:num>
  <w:num w:numId="19">
    <w:abstractNumId w:val="18"/>
  </w:num>
  <w:num w:numId="20">
    <w:abstractNumId w:val="17"/>
  </w:num>
  <w:num w:numId="21">
    <w:abstractNumId w:val="23"/>
  </w:num>
  <w:num w:numId="22">
    <w:abstractNumId w:val="27"/>
  </w:num>
  <w:num w:numId="23">
    <w:abstractNumId w:val="14"/>
  </w:num>
  <w:num w:numId="24">
    <w:abstractNumId w:val="30"/>
  </w:num>
  <w:num w:numId="25">
    <w:abstractNumId w:val="9"/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1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5"/>
  </w:num>
  <w:num w:numId="35">
    <w:abstractNumId w:val="15"/>
  </w:num>
  <w:num w:numId="36">
    <w:abstractNumId w:val="2"/>
  </w:num>
  <w:num w:numId="37">
    <w:abstractNumId w:val="4"/>
  </w:num>
  <w:num w:numId="3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0F2725"/>
    <w:rsid w:val="001546F4"/>
    <w:rsid w:val="00160DE2"/>
    <w:rsid w:val="001A4F5F"/>
    <w:rsid w:val="00231CAF"/>
    <w:rsid w:val="00244C12"/>
    <w:rsid w:val="002527AC"/>
    <w:rsid w:val="00273C15"/>
    <w:rsid w:val="00280127"/>
    <w:rsid w:val="002876D4"/>
    <w:rsid w:val="002E5DFF"/>
    <w:rsid w:val="0033246F"/>
    <w:rsid w:val="0034273F"/>
    <w:rsid w:val="003606D3"/>
    <w:rsid w:val="003B20DE"/>
    <w:rsid w:val="003C1E66"/>
    <w:rsid w:val="003D7C8D"/>
    <w:rsid w:val="003F6F25"/>
    <w:rsid w:val="00417536"/>
    <w:rsid w:val="0042038E"/>
    <w:rsid w:val="004267ED"/>
    <w:rsid w:val="00426DBB"/>
    <w:rsid w:val="00436C0E"/>
    <w:rsid w:val="004818ED"/>
    <w:rsid w:val="004C7DDB"/>
    <w:rsid w:val="004D4B4D"/>
    <w:rsid w:val="004F2FD9"/>
    <w:rsid w:val="005347DE"/>
    <w:rsid w:val="00536DC0"/>
    <w:rsid w:val="00547D92"/>
    <w:rsid w:val="00564314"/>
    <w:rsid w:val="0059667E"/>
    <w:rsid w:val="005D73C8"/>
    <w:rsid w:val="005F4471"/>
    <w:rsid w:val="00615441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41055"/>
    <w:rsid w:val="00847333"/>
    <w:rsid w:val="0085536A"/>
    <w:rsid w:val="00864BAE"/>
    <w:rsid w:val="00883797"/>
    <w:rsid w:val="00891C50"/>
    <w:rsid w:val="008966F5"/>
    <w:rsid w:val="008B6FA4"/>
    <w:rsid w:val="009175F6"/>
    <w:rsid w:val="0092140A"/>
    <w:rsid w:val="00974EA3"/>
    <w:rsid w:val="009859D0"/>
    <w:rsid w:val="00A01D47"/>
    <w:rsid w:val="00A169FA"/>
    <w:rsid w:val="00A605DB"/>
    <w:rsid w:val="00AB4D16"/>
    <w:rsid w:val="00AF5C42"/>
    <w:rsid w:val="00B05F55"/>
    <w:rsid w:val="00B134F7"/>
    <w:rsid w:val="00B373FB"/>
    <w:rsid w:val="00B46769"/>
    <w:rsid w:val="00B7686E"/>
    <w:rsid w:val="00B97257"/>
    <w:rsid w:val="00BC3563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DF31E8"/>
    <w:rsid w:val="00E066FC"/>
    <w:rsid w:val="00E140BE"/>
    <w:rsid w:val="00E219BE"/>
    <w:rsid w:val="00E74683"/>
    <w:rsid w:val="00F44F0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NormalWeb">
    <w:name w:val="Normal (Web)"/>
    <w:basedOn w:val="a"/>
    <w:rsid w:val="0085536A"/>
    <w:pPr>
      <w:spacing w:before="100" w:after="119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NormalWeb">
    <w:name w:val="Normal (Web)"/>
    <w:basedOn w:val="a"/>
    <w:rsid w:val="0085536A"/>
    <w:pPr>
      <w:spacing w:before="100" w:after="119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53</cp:revision>
  <dcterms:created xsi:type="dcterms:W3CDTF">2018-08-20T07:52:00Z</dcterms:created>
  <dcterms:modified xsi:type="dcterms:W3CDTF">2018-11-22T09:58:00Z</dcterms:modified>
</cp:coreProperties>
</file>