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38" w:rsidRPr="00392F09" w:rsidRDefault="00C36038" w:rsidP="00C36038">
      <w:pPr>
        <w:ind w:firstLine="708"/>
        <w:jc w:val="center"/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</w:pPr>
      <w:r w:rsidRPr="00C36038"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  <w:t xml:space="preserve">Техническое задание на выполнение работ по обеспечению инвалида  в 2018 году </w:t>
      </w:r>
      <w:r w:rsidR="00F528CE" w:rsidRPr="00F528CE"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  <w:t>протезами нижних конечностей</w:t>
      </w:r>
    </w:p>
    <w:p w:rsidR="00C36038" w:rsidRPr="00C36038" w:rsidRDefault="00C36038" w:rsidP="00C36038">
      <w:pPr>
        <w:ind w:firstLine="708"/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</w:pPr>
      <w:r w:rsidRPr="00C36038"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  <w:t xml:space="preserve">Место выполнения работ: </w:t>
      </w:r>
      <w:r w:rsidR="00F528CE" w:rsidRPr="00F528CE">
        <w:rPr>
          <w:rStyle w:val="1"/>
          <w:rFonts w:ascii="Times New Roman" w:hAnsi="Times New Roman" w:cs="Times New Roman"/>
          <w:bCs/>
          <w:iCs/>
          <w:sz w:val="27"/>
          <w:szCs w:val="27"/>
        </w:rPr>
        <w:t>в пределах г. Астрахани и Астраханской области</w:t>
      </w:r>
      <w:r w:rsidRPr="00C36038">
        <w:rPr>
          <w:rStyle w:val="1"/>
          <w:rFonts w:ascii="Times New Roman" w:hAnsi="Times New Roman" w:cs="Times New Roman"/>
          <w:bCs/>
          <w:iCs/>
          <w:sz w:val="27"/>
          <w:szCs w:val="27"/>
        </w:rPr>
        <w:t>.</w:t>
      </w:r>
    </w:p>
    <w:p w:rsidR="00C36038" w:rsidRPr="00C36038" w:rsidRDefault="00C36038" w:rsidP="00C36038">
      <w:pPr>
        <w:ind w:firstLine="708"/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</w:pPr>
      <w:r w:rsidRPr="00C36038"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  <w:t xml:space="preserve">Объем закупаемых работ: </w:t>
      </w:r>
      <w:r w:rsidRPr="00C36038">
        <w:rPr>
          <w:rStyle w:val="1"/>
          <w:rFonts w:ascii="Times New Roman" w:hAnsi="Times New Roman" w:cs="Times New Roman"/>
          <w:bCs/>
          <w:iCs/>
          <w:sz w:val="27"/>
          <w:szCs w:val="27"/>
        </w:rPr>
        <w:t xml:space="preserve">5 изделий. </w:t>
      </w:r>
    </w:p>
    <w:p w:rsidR="00C36038" w:rsidRPr="00C36038" w:rsidRDefault="00C36038" w:rsidP="00C36038">
      <w:pPr>
        <w:ind w:left="709"/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</w:pPr>
      <w:r w:rsidRPr="00C36038"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  <w:t xml:space="preserve">Сроки выполнения работ: </w:t>
      </w:r>
      <w:r w:rsidRPr="00C36038">
        <w:rPr>
          <w:rStyle w:val="1"/>
          <w:rFonts w:ascii="Times New Roman" w:hAnsi="Times New Roman" w:cs="Times New Roman"/>
          <w:bCs/>
          <w:iCs/>
          <w:sz w:val="27"/>
          <w:szCs w:val="27"/>
        </w:rPr>
        <w:t xml:space="preserve">не более 30 дней с  момента предъявления  Направления Исполнителю. </w:t>
      </w:r>
    </w:p>
    <w:p w:rsidR="00C36038" w:rsidRPr="00C36038" w:rsidRDefault="00C36038" w:rsidP="00C36038">
      <w:pPr>
        <w:ind w:left="709"/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</w:pPr>
      <w:r w:rsidRPr="00C36038">
        <w:rPr>
          <w:rStyle w:val="1"/>
          <w:rFonts w:ascii="Times New Roman" w:hAnsi="Times New Roman" w:cs="Times New Roman"/>
          <w:b/>
          <w:bCs/>
          <w:iCs/>
          <w:sz w:val="27"/>
          <w:szCs w:val="27"/>
        </w:rPr>
        <w:t xml:space="preserve">Период выполнения работ: </w:t>
      </w:r>
      <w:r w:rsidRPr="00C36038">
        <w:rPr>
          <w:rStyle w:val="1"/>
          <w:rFonts w:ascii="Times New Roman" w:hAnsi="Times New Roman" w:cs="Times New Roman"/>
          <w:bCs/>
          <w:iCs/>
          <w:sz w:val="27"/>
          <w:szCs w:val="27"/>
        </w:rPr>
        <w:t>с момента заключения государственного контракта по 18.12.2018 г.</w:t>
      </w:r>
    </w:p>
    <w:p w:rsidR="00C36038" w:rsidRPr="00D1524B" w:rsidRDefault="00C36038" w:rsidP="00C36038">
      <w:pPr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C36038" w:rsidRPr="004E3C11" w:rsidRDefault="00C36038" w:rsidP="00C36038">
      <w:pPr>
        <w:pStyle w:val="a3"/>
        <w:jc w:val="both"/>
        <w:rPr>
          <w:rFonts w:ascii="Times New Roman" w:eastAsia="Times New Roman" w:hAnsi="Times New Roman" w:cs="Times New Roman"/>
          <w:color w:val="94006B"/>
          <w:sz w:val="28"/>
          <w:szCs w:val="28"/>
        </w:rPr>
      </w:pPr>
    </w:p>
    <w:p w:rsidR="00C36038" w:rsidRDefault="00C36038" w:rsidP="00C36038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- 5 изд.                                               На сумму  </w:t>
      </w:r>
      <w:r w:rsidR="00BB3F78" w:rsidRPr="00BB3F78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>2 346</w:t>
      </w:r>
      <w:r w:rsidR="00BB3F78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3F78" w:rsidRPr="00BB3F78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>690</w:t>
      </w:r>
      <w:r w:rsidR="00BB3F78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2BC4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2BC4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F78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01</w:t>
      </w:r>
      <w:r w:rsidRPr="000B2BC4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</w:t>
      </w:r>
    </w:p>
    <w:tbl>
      <w:tblPr>
        <w:tblW w:w="1020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  <w:gridCol w:w="992"/>
      </w:tblGrid>
      <w:tr w:rsidR="00C36038" w:rsidTr="00C36038"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изделий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448 656, 67</w:t>
            </w: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BB3F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9 300</w:t>
            </w: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Pr="00BB3F78" w:rsidRDefault="00BB3F7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499 266.67</w:t>
            </w: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418 500</w:t>
            </w: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480 966, 67</w:t>
            </w:r>
          </w:p>
        </w:tc>
      </w:tr>
      <w:tr w:rsidR="00C36038" w:rsidTr="00C36038">
        <w:trPr>
          <w:trHeight w:val="6149"/>
        </w:trPr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Протез голени модульного типа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proofErr w:type="gram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Протез голени модульный, косметическая облицовка мягкая полиуретановая модульная (поролон), чулки </w:t>
            </w:r>
            <w:proofErr w:type="spell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перлоновые</w:t>
            </w:r>
            <w:proofErr w:type="spell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 гильз) 1 шт., чехол полимерный гелиевый низкой плотности, крепление с использованием замка для полимерных чехлов, регулировочно-соединительные устройства на нагрузку до 100 кг, стопа с высокой степенью энергосбережения, постоянный.</w:t>
            </w:r>
            <w:proofErr w:type="gramEnd"/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Кол-во 1 изд.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Протез бедра модульного типа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proofErr w:type="gram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Протез бедра модульный, косметическая облицовка мягкая полиуретановая модульная (поролон), чулки </w:t>
            </w:r>
            <w:proofErr w:type="spell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перлоновые</w:t>
            </w:r>
            <w:proofErr w:type="spell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 гильз) 1 шт., крепление с использованием бандажа, регулировочно-соединительные устройства на нагрузку до 100 кг, стопа с высокой степенью энергосбережения, коленный шарнир полицентрический с «геометрическим замком», с независимым гидравлическим</w:t>
            </w:r>
            <w:proofErr w:type="gram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регулированием фаз сгибания-разгибания, с замком, </w:t>
            </w:r>
            <w:proofErr w:type="spell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отключающимся</w:t>
            </w:r>
            <w:proofErr w:type="spell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при переходе на передний отдел стопы, с упругим подгибанием, </w:t>
            </w:r>
            <w:proofErr w:type="spell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постянный</w:t>
            </w:r>
            <w:proofErr w:type="spell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Кол-во 1 изд.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Протез бедра модульного типа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proofErr w:type="gram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Протез бедра модульный, косметическая облицовка мягкая полиуретановая модульная (поролон), косметическое покрытие чулки </w:t>
            </w:r>
            <w:proofErr w:type="spell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перлоновые</w:t>
            </w:r>
            <w:proofErr w:type="spell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 гильз) 1 шт., крепление с использованием бандажа, регулировочно-соединительные устройства на нагрузку до 125 кг, стопа с высокой степенью энергосбережения, коленный шарнир одноосный </w:t>
            </w:r>
            <w:proofErr w:type="spell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беззамковый</w:t>
            </w:r>
            <w:proofErr w:type="spell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с независимым гидравлическим</w:t>
            </w:r>
            <w:proofErr w:type="gram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регулированием фаз сгибания-разгибания, наличие поворотного устройства, </w:t>
            </w:r>
            <w:proofErr w:type="gram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постоянный</w:t>
            </w:r>
            <w:proofErr w:type="gram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Кол-во 1 изд.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lastRenderedPageBreak/>
              <w:t>Протез бедра модульного типа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proofErr w:type="gram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Протез бедра модульный, косметическая облицовка мягкая полиуретановая модульная (поролон), косметическое покрытие чулки </w:t>
            </w:r>
            <w:proofErr w:type="spell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перлоновые</w:t>
            </w:r>
            <w:proofErr w:type="spell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 гильз) 1 шт., крепление поясное с использованием кожаных полуфабрикатов (без шин), регулировочно-соединительные устройства на нагрузку до 100 кг, стопа со средней степенью энергосбережения, коленный шарнир одноосный</w:t>
            </w:r>
            <w:proofErr w:type="gram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с ручным замком и </w:t>
            </w:r>
            <w:proofErr w:type="spell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голенооткидным</w:t>
            </w:r>
            <w:proofErr w:type="spell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устройством, без дополнительных функциональных устройств, </w:t>
            </w:r>
            <w:proofErr w:type="gram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постоянный</w:t>
            </w:r>
            <w:proofErr w:type="gram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Кол-во 1 изд.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Протез бедра модульного типа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proofErr w:type="gram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Протез бедра модульный, косметическая облицовка мягкая полиуретановая модульная (поролон), косметическое покрытие чулки </w:t>
            </w:r>
            <w:proofErr w:type="spell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перлоновые</w:t>
            </w:r>
            <w:proofErr w:type="spell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 гильз) 1 шт., крепление поясное с использованием кожаных полуфабрикатов (без шин), регулировочно-соединительные устройства на нагрузку до 100 кг, стопа со средней степенью энергосбережения, коленный шарнир полицентрический</w:t>
            </w:r>
            <w:proofErr w:type="gram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 xml:space="preserve"> с «геометрическим замком», с независимым пневматическим регулированием фаз сгибания-разгибания, без дополнительных функциональных устройств, </w:t>
            </w:r>
            <w:proofErr w:type="gramStart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постоянный</w:t>
            </w:r>
            <w:proofErr w:type="gramEnd"/>
            <w:r w:rsidRPr="007F71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  <w:t>.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Кол-во 1 изд.</w:t>
            </w:r>
          </w:p>
          <w:p w:rsidR="00C36038" w:rsidRPr="007F716F" w:rsidRDefault="00C36038" w:rsidP="001F42DC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Style w:val="2"/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Выбор материалов и </w:t>
            </w:r>
            <w:proofErr w:type="gramStart"/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креплений, применяемых для изготовления протезов зависит</w:t>
            </w:r>
            <w:proofErr w:type="gramEnd"/>
            <w:r w:rsidRPr="007F7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от индивидуальных особенностей инвалидов.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038" w:rsidRDefault="00C36038" w:rsidP="001F4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6038" w:rsidRPr="007F716F" w:rsidRDefault="00C36038" w:rsidP="00C36038">
      <w:pPr>
        <w:ind w:left="-284" w:right="-568"/>
        <w:jc w:val="both"/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</w:pPr>
      <w:r w:rsidRPr="007F716F"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  <w:lastRenderedPageBreak/>
        <w:t xml:space="preserve">Протезы нижних  конечностей должны  соответствовать Республиканскому стандарту РСФСР РСТ  РСФСР  644-80 «Изделия протезно-ортопедические.  Общие  технические требования».   Выполняемые работы по обеспечению инвалидов протезами нижних конечностей должны содержать комплекс медицинских, технических  и социальных мероприятий проводимых с пациентами, имеющими нарушениями (или) дефекты опорно-двигательного аппарата, в целях восстановления или компенсации ограничений их жизнедеятельности. 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пациентов.  </w:t>
      </w:r>
    </w:p>
    <w:p w:rsidR="00C36038" w:rsidRPr="007F716F" w:rsidRDefault="00C36038" w:rsidP="00C36038">
      <w:pPr>
        <w:ind w:left="-284" w:right="-568"/>
        <w:jc w:val="both"/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</w:pPr>
      <w:r w:rsidRPr="007F716F"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  <w:t xml:space="preserve">Приемная гильза протеза конечности изготавливается 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</w:t>
      </w:r>
    </w:p>
    <w:p w:rsidR="00C36038" w:rsidRPr="007F716F" w:rsidRDefault="00C36038" w:rsidP="00C36038">
      <w:pPr>
        <w:ind w:left="-284" w:right="-568"/>
        <w:jc w:val="both"/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</w:pPr>
      <w:r w:rsidRPr="007F716F"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  <w:t xml:space="preserve">конструктивно-технологическую завершенность. 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 Постоянный протез нижней конечности предназначается после  завершения использования лечебно-тренировочного протеза.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 к месту использования по назначению.   Временная </w:t>
      </w:r>
      <w:proofErr w:type="spellStart"/>
      <w:r w:rsidRPr="007F716F"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  <w:t>противокоррозийная</w:t>
      </w:r>
      <w:proofErr w:type="spellEnd"/>
      <w:r w:rsidRPr="007F716F"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  <w:t xml:space="preserve">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 w:rsidRPr="007F716F"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  <w:t>противокоррозийная</w:t>
      </w:r>
      <w:proofErr w:type="spellEnd"/>
      <w:r w:rsidRPr="007F716F"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  <w:t xml:space="preserve"> защита изделий. Общие требования».</w:t>
      </w:r>
    </w:p>
    <w:p w:rsidR="00C36038" w:rsidRPr="007F716F" w:rsidRDefault="00C36038" w:rsidP="00C36038">
      <w:pPr>
        <w:ind w:left="-284" w:right="-568"/>
        <w:jc w:val="both"/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</w:pPr>
      <w:r w:rsidRPr="007F716F"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  <w:t xml:space="preserve">Упаковка протезов нижних конечностей должна обеспечивать защиту от повреждений, порчи </w:t>
      </w:r>
      <w:r w:rsidRPr="007F716F">
        <w:rPr>
          <w:rStyle w:val="1"/>
          <w:rFonts w:ascii="Times New Roman" w:eastAsia="Arial" w:hAnsi="Times New Roman" w:cs="Times New Roman"/>
          <w:color w:val="000000"/>
          <w:sz w:val="26"/>
          <w:szCs w:val="26"/>
        </w:rPr>
        <w:lastRenderedPageBreak/>
        <w:t xml:space="preserve">(изнашивания) или загрязнения во время хранения и транспортировки  к месту использования по назначению.   </w:t>
      </w:r>
    </w:p>
    <w:p w:rsidR="00C36038" w:rsidRPr="007F716F" w:rsidRDefault="00C36038" w:rsidP="00C36038">
      <w:pPr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C36038" w:rsidRPr="007F716F" w:rsidRDefault="00C36038" w:rsidP="00C36038">
      <w:pPr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7F716F">
        <w:rPr>
          <w:rStyle w:val="1"/>
          <w:rFonts w:ascii="Times New Roman" w:hAnsi="Times New Roman" w:cs="Times New Roman"/>
          <w:b/>
          <w:bCs/>
          <w:sz w:val="26"/>
          <w:szCs w:val="26"/>
        </w:rPr>
        <w:t>7. Объем финансирования и источник финансирования:</w:t>
      </w:r>
      <w:r w:rsidRPr="007F716F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="00BB3F78" w:rsidRPr="00BB3F78">
        <w:rPr>
          <w:rStyle w:val="1"/>
          <w:rFonts w:ascii="Times New Roman" w:hAnsi="Times New Roman" w:cs="Times New Roman"/>
          <w:sz w:val="26"/>
          <w:szCs w:val="26"/>
        </w:rPr>
        <w:t>2 346 690</w:t>
      </w:r>
      <w:r w:rsidRPr="007F716F">
        <w:rPr>
          <w:rStyle w:val="1"/>
          <w:rFonts w:ascii="Times New Roman" w:hAnsi="Times New Roman" w:cs="Times New Roman"/>
          <w:sz w:val="26"/>
          <w:szCs w:val="26"/>
        </w:rPr>
        <w:t xml:space="preserve"> рубля </w:t>
      </w:r>
      <w:r w:rsidR="00BB3F78" w:rsidRPr="00BB3F78">
        <w:rPr>
          <w:rStyle w:val="1"/>
          <w:rFonts w:ascii="Times New Roman" w:hAnsi="Times New Roman" w:cs="Times New Roman"/>
          <w:sz w:val="26"/>
          <w:szCs w:val="26"/>
        </w:rPr>
        <w:t>01</w:t>
      </w:r>
      <w:r w:rsidRPr="007F716F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716F">
        <w:rPr>
          <w:rStyle w:val="1"/>
          <w:rFonts w:ascii="Times New Roman" w:hAnsi="Times New Roman" w:cs="Times New Roman"/>
          <w:sz w:val="26"/>
          <w:szCs w:val="26"/>
        </w:rPr>
        <w:t>копейк</w:t>
      </w:r>
      <w:proofErr w:type="spellEnd"/>
      <w:proofErr w:type="gramStart"/>
      <w:r w:rsidR="00BB3F78">
        <w:rPr>
          <w:rStyle w:val="1"/>
          <w:rFonts w:ascii="Times New Roman" w:hAnsi="Times New Roman" w:cs="Times New Roman"/>
          <w:sz w:val="26"/>
          <w:szCs w:val="26"/>
          <w:lang w:val="en-US"/>
        </w:rPr>
        <w:t>f</w:t>
      </w:r>
      <w:bookmarkStart w:id="0" w:name="_GoBack"/>
      <w:bookmarkEnd w:id="0"/>
      <w:proofErr w:type="gramEnd"/>
      <w:r w:rsidRPr="007F716F">
        <w:rPr>
          <w:rStyle w:val="1"/>
          <w:rFonts w:ascii="Times New Roman" w:hAnsi="Times New Roman" w:cs="Times New Roman"/>
          <w:sz w:val="26"/>
          <w:szCs w:val="26"/>
        </w:rPr>
        <w:t xml:space="preserve"> из средств Федерального бюджета.</w:t>
      </w:r>
    </w:p>
    <w:p w:rsidR="00C36038" w:rsidRPr="007F716F" w:rsidRDefault="00C36038" w:rsidP="00C36038">
      <w:pPr>
        <w:ind w:left="660"/>
        <w:rPr>
          <w:rFonts w:ascii="Times New Roman" w:hAnsi="Times New Roman" w:cs="Times New Roman"/>
          <w:sz w:val="26"/>
          <w:szCs w:val="26"/>
        </w:rPr>
      </w:pP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b/>
          <w:bCs/>
          <w:sz w:val="26"/>
          <w:szCs w:val="26"/>
        </w:rPr>
        <w:t>8. Требования к безопасности работ:</w:t>
      </w:r>
      <w:r w:rsidRPr="007F716F">
        <w:rPr>
          <w:rFonts w:ascii="Times New Roman" w:hAnsi="Times New Roman" w:cs="Times New Roman"/>
          <w:sz w:val="26"/>
          <w:szCs w:val="26"/>
        </w:rPr>
        <w:t xml:space="preserve"> - декларации о соответствии по Постановлению Правительства РФ от 01.12.2009 № 982 (Система сертификации ГОСТ Р) - изделие медицинского назначения;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Документы на </w:t>
      </w:r>
      <w:proofErr w:type="gramStart"/>
      <w:r w:rsidRPr="007F716F">
        <w:rPr>
          <w:rFonts w:ascii="Times New Roman" w:hAnsi="Times New Roman" w:cs="Times New Roman"/>
          <w:sz w:val="26"/>
          <w:szCs w:val="26"/>
        </w:rPr>
        <w:t>соответствие</w:t>
      </w:r>
      <w:proofErr w:type="gramEnd"/>
      <w:r w:rsidRPr="007F716F">
        <w:rPr>
          <w:rFonts w:ascii="Times New Roman" w:hAnsi="Times New Roman" w:cs="Times New Roman"/>
          <w:sz w:val="26"/>
          <w:szCs w:val="26"/>
        </w:rPr>
        <w:t xml:space="preserve"> которым проводится обязательное подтверждение соответствия: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F716F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7F716F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7F716F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F71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716F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7F716F">
        <w:rPr>
          <w:rFonts w:ascii="Times New Roman" w:hAnsi="Times New Roman" w:cs="Times New Roman"/>
          <w:sz w:val="26"/>
          <w:szCs w:val="26"/>
        </w:rPr>
        <w:t>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7F716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F716F">
        <w:rPr>
          <w:rFonts w:ascii="Times New Roman" w:hAnsi="Times New Roman" w:cs="Times New Roman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7F716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F716F">
        <w:rPr>
          <w:rFonts w:ascii="Times New Roman" w:hAnsi="Times New Roman" w:cs="Times New Roman"/>
          <w:sz w:val="26"/>
          <w:szCs w:val="26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7F716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F716F">
        <w:rPr>
          <w:rFonts w:ascii="Times New Roman" w:hAnsi="Times New Roman" w:cs="Times New Roman"/>
          <w:sz w:val="26"/>
          <w:szCs w:val="26"/>
        </w:rPr>
        <w:t xml:space="preserve"> ИСО 22523-2007 - Протезы конечностей и </w:t>
      </w:r>
      <w:proofErr w:type="spellStart"/>
      <w:r w:rsidRPr="007F716F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7F716F">
        <w:rPr>
          <w:rFonts w:ascii="Times New Roman" w:hAnsi="Times New Roman" w:cs="Times New Roman"/>
          <w:sz w:val="26"/>
          <w:szCs w:val="26"/>
        </w:rPr>
        <w:t xml:space="preserve"> наружные. Требования и методы испытаний.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Документы по стандартизации, применимые к </w:t>
      </w:r>
      <w:proofErr w:type="gramStart"/>
      <w:r w:rsidRPr="007F716F">
        <w:rPr>
          <w:rFonts w:ascii="Times New Roman" w:hAnsi="Times New Roman" w:cs="Times New Roman"/>
          <w:sz w:val="26"/>
          <w:szCs w:val="26"/>
        </w:rPr>
        <w:t>данному</w:t>
      </w:r>
      <w:proofErr w:type="gramEnd"/>
      <w:r w:rsidRPr="007F716F">
        <w:rPr>
          <w:rFonts w:ascii="Times New Roman" w:hAnsi="Times New Roman" w:cs="Times New Roman"/>
          <w:sz w:val="26"/>
          <w:szCs w:val="26"/>
        </w:rPr>
        <w:t xml:space="preserve"> ТСР: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F716F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7F716F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7F716F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F71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716F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7F716F">
        <w:rPr>
          <w:rFonts w:ascii="Times New Roman" w:hAnsi="Times New Roman" w:cs="Times New Roman"/>
          <w:sz w:val="26"/>
          <w:szCs w:val="26"/>
        </w:rPr>
        <w:t>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7F716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F716F">
        <w:rPr>
          <w:rFonts w:ascii="Times New Roman" w:hAnsi="Times New Roman" w:cs="Times New Roman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7F716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F716F">
        <w:rPr>
          <w:rFonts w:ascii="Times New Roman" w:hAnsi="Times New Roman" w:cs="Times New Roman"/>
          <w:sz w:val="26"/>
          <w:szCs w:val="26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7F716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F716F">
        <w:rPr>
          <w:rFonts w:ascii="Times New Roman" w:hAnsi="Times New Roman" w:cs="Times New Roman"/>
          <w:sz w:val="26"/>
          <w:szCs w:val="26"/>
        </w:rPr>
        <w:t xml:space="preserve"> ИСО 22523-2007 - Протезы конечностей и </w:t>
      </w:r>
      <w:proofErr w:type="spellStart"/>
      <w:r w:rsidRPr="007F716F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7F716F">
        <w:rPr>
          <w:rFonts w:ascii="Times New Roman" w:hAnsi="Times New Roman" w:cs="Times New Roman"/>
          <w:sz w:val="26"/>
          <w:szCs w:val="26"/>
        </w:rPr>
        <w:t xml:space="preserve"> наружные. Требования и методы испытаний.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  <w:r w:rsidRPr="007F716F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7F716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F716F">
        <w:rPr>
          <w:rFonts w:ascii="Times New Roman" w:hAnsi="Times New Roman" w:cs="Times New Roman"/>
          <w:sz w:val="26"/>
          <w:szCs w:val="26"/>
        </w:rPr>
        <w:t xml:space="preserve"> 53869-2010 – Протезы нижних конечностей. Технические требования.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6038" w:rsidRPr="007F716F" w:rsidRDefault="00C36038" w:rsidP="00C36038">
      <w:pPr>
        <w:ind w:left="1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16F">
        <w:rPr>
          <w:rStyle w:val="1"/>
          <w:rFonts w:ascii="Times New Roman" w:hAnsi="Times New Roman" w:cs="Times New Roman"/>
          <w:b/>
          <w:bCs/>
          <w:sz w:val="26"/>
          <w:szCs w:val="26"/>
        </w:rPr>
        <w:t xml:space="preserve">9. </w:t>
      </w:r>
      <w:r w:rsidRPr="007F716F">
        <w:rPr>
          <w:rStyle w:val="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Требования к результатам работ, гарантиям качества: </w:t>
      </w:r>
      <w:r w:rsidRPr="007F716F">
        <w:rPr>
          <w:rStyle w:val="1"/>
          <w:rFonts w:ascii="Times New Roman" w:hAnsi="Times New Roman" w:cs="Times New Roman"/>
          <w:color w:val="000000"/>
          <w:sz w:val="26"/>
          <w:szCs w:val="26"/>
        </w:rPr>
        <w:t>Работы по обеспечению инвалидов протезами нижних 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деформации.</w:t>
      </w:r>
      <w:r w:rsidRPr="007F716F">
        <w:rPr>
          <w:rFonts w:ascii="Times New Roman" w:hAnsi="Times New Roman" w:cs="Times New Roman"/>
          <w:color w:val="000000"/>
          <w:sz w:val="26"/>
          <w:szCs w:val="26"/>
        </w:rPr>
        <w:t xml:space="preserve">  Работы по обеспечению инвалидов протезами должны быть выполнены с надлежащим качеством в установленные сроки.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16F">
        <w:rPr>
          <w:rFonts w:ascii="Times New Roman" w:hAnsi="Times New Roman" w:cs="Times New Roman"/>
          <w:color w:val="000000"/>
          <w:sz w:val="26"/>
          <w:szCs w:val="26"/>
        </w:rPr>
        <w:t xml:space="preserve">  Гарантийный срок  на протезы нижних конечностей со дня выдачи готового изделия не менее 7 месяцев. </w:t>
      </w:r>
    </w:p>
    <w:p w:rsidR="00C36038" w:rsidRPr="007F716F" w:rsidRDefault="00C36038" w:rsidP="00C360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16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067E0D" w:rsidRDefault="00067E0D"/>
    <w:sectPr w:rsidR="00067E0D" w:rsidSect="00C36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0C"/>
    <w:rsid w:val="00067E0D"/>
    <w:rsid w:val="00392F09"/>
    <w:rsid w:val="00467DA0"/>
    <w:rsid w:val="00BB3F78"/>
    <w:rsid w:val="00C36038"/>
    <w:rsid w:val="00D3520C"/>
    <w:rsid w:val="00F5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38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36038"/>
  </w:style>
  <w:style w:type="character" w:customStyle="1" w:styleId="1">
    <w:name w:val="Основной шрифт абзаца1"/>
    <w:rsid w:val="00C36038"/>
  </w:style>
  <w:style w:type="paragraph" w:customStyle="1" w:styleId="a3">
    <w:name w:val="Содержимое таблицы"/>
    <w:basedOn w:val="a"/>
    <w:rsid w:val="00C3603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38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36038"/>
  </w:style>
  <w:style w:type="character" w:customStyle="1" w:styleId="1">
    <w:name w:val="Основной шрифт абзаца1"/>
    <w:rsid w:val="00C36038"/>
  </w:style>
  <w:style w:type="paragraph" w:customStyle="1" w:styleId="a3">
    <w:name w:val="Содержимое таблицы"/>
    <w:basedOn w:val="a"/>
    <w:rsid w:val="00C3603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Печенкина Анна Вячеславовна</cp:lastModifiedBy>
  <cp:revision>6</cp:revision>
  <dcterms:created xsi:type="dcterms:W3CDTF">2018-08-22T06:23:00Z</dcterms:created>
  <dcterms:modified xsi:type="dcterms:W3CDTF">2018-08-22T13:00:00Z</dcterms:modified>
</cp:coreProperties>
</file>