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EB" w:rsidRDefault="00A762DD">
      <w:pPr>
        <w:pStyle w:val="a4"/>
        <w:jc w:val="center"/>
      </w:pPr>
      <w:r>
        <w:rPr>
          <w:b/>
          <w:lang w:val="ru-RU"/>
        </w:rPr>
        <w:t xml:space="preserve">Техническое задание на поставку </w:t>
      </w:r>
      <w:r w:rsidR="008F2C11" w:rsidRPr="008F2C11">
        <w:rPr>
          <w:b/>
          <w:lang w:val="ru-RU"/>
        </w:rPr>
        <w:t>специальных сре</w:t>
      </w:r>
      <w:proofErr w:type="gramStart"/>
      <w:r w:rsidR="008F2C11" w:rsidRPr="008F2C11">
        <w:rPr>
          <w:b/>
          <w:lang w:val="ru-RU"/>
        </w:rPr>
        <w:t>дств пр</w:t>
      </w:r>
      <w:proofErr w:type="gramEnd"/>
      <w:r w:rsidR="008F2C11" w:rsidRPr="008F2C11">
        <w:rPr>
          <w:b/>
          <w:lang w:val="ru-RU"/>
        </w:rPr>
        <w:t>и нарушениях функций выделения и обеспечение ими инвалидов в 2019 году</w:t>
      </w:r>
    </w:p>
    <w:p w:rsidR="008F2C11" w:rsidRDefault="008F2C11">
      <w:pPr>
        <w:pStyle w:val="a4"/>
        <w:spacing w:after="0"/>
        <w:ind w:firstLine="709"/>
        <w:jc w:val="both"/>
        <w:rPr>
          <w:b/>
        </w:rPr>
      </w:pPr>
    </w:p>
    <w:p w:rsidR="007104EB" w:rsidRDefault="00A762DD">
      <w:pPr>
        <w:pStyle w:val="a4"/>
        <w:spacing w:after="0"/>
        <w:ind w:firstLine="709"/>
        <w:jc w:val="both"/>
      </w:pPr>
      <w:r>
        <w:t>М</w:t>
      </w:r>
      <w:proofErr w:type="spellStart"/>
      <w:r>
        <w:rPr>
          <w:lang w:val="ru-RU"/>
        </w:rPr>
        <w:t>очеприемники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7104EB" w:rsidRDefault="007104EB">
      <w:pPr>
        <w:pStyle w:val="a4"/>
        <w:spacing w:after="0"/>
        <w:ind w:firstLine="709"/>
        <w:jc w:val="both"/>
        <w:rPr>
          <w:b/>
          <w:lang w:val="ru-RU"/>
        </w:rPr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7104EB" w:rsidRDefault="007104EB">
      <w:pPr>
        <w:pStyle w:val="a4"/>
        <w:spacing w:after="0"/>
        <w:ind w:firstLine="709"/>
        <w:jc w:val="center"/>
        <w:rPr>
          <w:b/>
        </w:rPr>
      </w:pPr>
    </w:p>
    <w:p w:rsidR="007104EB" w:rsidRDefault="00A762DD">
      <w:pPr>
        <w:pStyle w:val="a4"/>
        <w:spacing w:after="0"/>
        <w:ind w:firstLine="709"/>
        <w:jc w:val="both"/>
      </w:pPr>
      <w:r>
        <w:rPr>
          <w:lang w:val="ru-RU"/>
        </w:rPr>
        <w:t xml:space="preserve">Мочеприемники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52770-2016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мочеприемники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мочеприемников</w:t>
      </w:r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7104EB" w:rsidRDefault="00A762DD">
      <w:pPr>
        <w:pStyle w:val="a4"/>
        <w:spacing w:after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Поставляемый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товаром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употреблении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ремонте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восстановлен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которого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осуществлена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восстановлены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потребительские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свойства</w:t>
      </w:r>
      <w:proofErr w:type="spellEnd"/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:rsidR="007104EB" w:rsidRDefault="007104EB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8"/>
        <w:gridCol w:w="5611"/>
        <w:gridCol w:w="1418"/>
      </w:tblGrid>
      <w:tr w:rsidR="007104EB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Требования</w:t>
            </w:r>
            <w:proofErr w:type="spellEnd"/>
            <w:r>
              <w:t xml:space="preserve"> к </w:t>
            </w:r>
            <w:proofErr w:type="spellStart"/>
            <w:r>
              <w:t>функциональным</w:t>
            </w:r>
            <w:proofErr w:type="spellEnd"/>
            <w:r>
              <w:t xml:space="preserve"> и </w:t>
            </w:r>
            <w:proofErr w:type="spellStart"/>
            <w:r>
              <w:t>техническим</w:t>
            </w:r>
            <w:proofErr w:type="spellEnd"/>
            <w:r>
              <w:t xml:space="preserve"> </w:t>
            </w:r>
            <w:proofErr w:type="spellStart"/>
            <w:r>
              <w:t>характеристикам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Количеств</w:t>
            </w:r>
            <w:proofErr w:type="spellEnd"/>
            <w:r>
              <w:rPr>
                <w:lang w:val="ru-RU"/>
              </w:rPr>
              <w:t>о</w:t>
            </w:r>
            <w:r>
              <w:t xml:space="preserve">, в </w:t>
            </w:r>
            <w:proofErr w:type="spellStart"/>
            <w:r>
              <w:t>шт</w:t>
            </w:r>
            <w:proofErr w:type="spellEnd"/>
            <w:r>
              <w:t xml:space="preserve">. </w:t>
            </w:r>
          </w:p>
        </w:tc>
      </w:tr>
      <w:tr w:rsidR="007104EB">
        <w:trPr>
          <w:trHeight w:val="660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 w:rsidP="00B9195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Ремешки для крепления мешка для сбора мочи и </w:t>
            </w:r>
            <w:proofErr w:type="spellStart"/>
            <w:r>
              <w:rPr>
                <w:lang w:val="ru-RU"/>
              </w:rPr>
              <w:t>уроприемников</w:t>
            </w:r>
            <w:proofErr w:type="spellEnd"/>
            <w:r>
              <w:rPr>
                <w:lang w:val="ru-RU"/>
              </w:rPr>
              <w:t xml:space="preserve"> к ноге должны быть регулируемые по длине, с силиконовыми вставками для предотвращения скольжения мешка на ноге. </w:t>
            </w:r>
            <w:r w:rsidR="00B91950">
              <w:rPr>
                <w:lang w:val="ru-RU"/>
              </w:rPr>
              <w:t>В к</w:t>
            </w:r>
            <w:r>
              <w:rPr>
                <w:lang w:val="ru-RU"/>
              </w:rPr>
              <w:t xml:space="preserve">омплекте должно быть два ремешка.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2C11" w:rsidRDefault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3240</w:t>
            </w:r>
          </w:p>
          <w:p w:rsidR="007104EB" w:rsidRDefault="00B919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762DD">
              <w:rPr>
                <w:lang w:val="ru-RU"/>
              </w:rPr>
              <w:t>комплектов (пар)</w:t>
            </w:r>
          </w:p>
        </w:tc>
      </w:tr>
      <w:tr w:rsidR="007104EB">
        <w:trPr>
          <w:trHeight w:val="660"/>
        </w:trPr>
        <w:tc>
          <w:tcPr>
            <w:tcW w:w="26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Мешок </w:t>
            </w:r>
          </w:p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сбора мочи 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Мочеприемник</w:t>
            </w:r>
            <w:proofErr w:type="spellEnd"/>
            <w:r>
              <w:t xml:space="preserve"> </w:t>
            </w:r>
            <w:proofErr w:type="spellStart"/>
            <w:r>
              <w:t>ножной</w:t>
            </w:r>
            <w:proofErr w:type="spellEnd"/>
            <w:r>
              <w:t xml:space="preserve"> «</w:t>
            </w:r>
            <w:proofErr w:type="spellStart"/>
            <w:r>
              <w:t>дневной</w:t>
            </w:r>
            <w:proofErr w:type="spellEnd"/>
            <w:r>
              <w:t>» (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) </w:t>
            </w:r>
            <w:proofErr w:type="spellStart"/>
            <w:r>
              <w:t>контурированный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должен быть</w:t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антирефлюксный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сливной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переходник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соединения</w:t>
            </w:r>
            <w:proofErr w:type="spellEnd"/>
            <w:r>
              <w:t xml:space="preserve"> с </w:t>
            </w:r>
            <w:proofErr w:type="spellStart"/>
            <w:r>
              <w:t>уропрезервативом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катетером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усиленные</w:t>
            </w:r>
            <w:proofErr w:type="spellEnd"/>
            <w:r>
              <w:t xml:space="preserve"> </w:t>
            </w:r>
            <w:proofErr w:type="spellStart"/>
            <w:r>
              <w:t>отверстия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мочеприемника</w:t>
            </w:r>
            <w:proofErr w:type="spellEnd"/>
            <w:r>
              <w:t xml:space="preserve"> к </w:t>
            </w:r>
            <w:proofErr w:type="spellStart"/>
            <w:r>
              <w:t>бедру</w:t>
            </w:r>
            <w:proofErr w:type="spellEnd"/>
            <w:r>
              <w:t xml:space="preserve"> и </w:t>
            </w:r>
            <w:proofErr w:type="spellStart"/>
            <w:r>
              <w:t>герметичную</w:t>
            </w:r>
            <w:proofErr w:type="spellEnd"/>
            <w:r>
              <w:t xml:space="preserve"> </w:t>
            </w:r>
            <w:proofErr w:type="spellStart"/>
            <w:r>
              <w:t>заглушку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спуска</w:t>
            </w:r>
            <w:proofErr w:type="spellEnd"/>
            <w:r>
              <w:t xml:space="preserve">. </w:t>
            </w:r>
            <w:proofErr w:type="spellStart"/>
            <w:r>
              <w:t>Объемы</w:t>
            </w:r>
            <w:proofErr w:type="spellEnd"/>
            <w:r>
              <w:t xml:space="preserve"> </w:t>
            </w:r>
            <w:proofErr w:type="spellStart"/>
            <w:r>
              <w:t>мешка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в </w:t>
            </w:r>
            <w:proofErr w:type="spellStart"/>
            <w:r>
              <w:t>диапазоне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не менее </w:t>
            </w:r>
            <w:r>
              <w:t xml:space="preserve">600 </w:t>
            </w:r>
            <w:r>
              <w:rPr>
                <w:lang w:val="ru-RU"/>
              </w:rPr>
              <w:t xml:space="preserve">и не </w:t>
            </w:r>
            <w:r>
              <w:rPr>
                <w:lang w:val="ru-RU"/>
              </w:rPr>
              <w:lastRenderedPageBreak/>
              <w:t xml:space="preserve">более </w:t>
            </w:r>
            <w:r>
              <w:t xml:space="preserve">800 </w:t>
            </w:r>
            <w:proofErr w:type="spellStart"/>
            <w:r>
              <w:t>мл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дренажной</w:t>
            </w:r>
            <w:proofErr w:type="spellEnd"/>
            <w:r>
              <w:t xml:space="preserve"> </w:t>
            </w:r>
            <w:proofErr w:type="spellStart"/>
            <w:r>
              <w:t>регулируемой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перекручивающейся</w:t>
            </w:r>
            <w:proofErr w:type="spellEnd"/>
            <w:r>
              <w:t xml:space="preserve"> </w:t>
            </w:r>
            <w:proofErr w:type="spellStart"/>
            <w:r>
              <w:t>трубки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менее</w:t>
            </w:r>
            <w:r>
              <w:t xml:space="preserve"> </w:t>
            </w:r>
            <w:r>
              <w:rPr>
                <w:lang w:val="ru-RU"/>
              </w:rPr>
              <w:t>35</w:t>
            </w:r>
            <w:r>
              <w:t xml:space="preserve"> </w:t>
            </w:r>
            <w:proofErr w:type="spellStart"/>
            <w:r>
              <w:t>см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сохранять</w:t>
            </w:r>
            <w:proofErr w:type="spellEnd"/>
            <w:r>
              <w:t xml:space="preserve"> </w:t>
            </w:r>
            <w:proofErr w:type="spellStart"/>
            <w:r>
              <w:t>плоскую</w:t>
            </w:r>
            <w:proofErr w:type="spellEnd"/>
            <w:r>
              <w:t xml:space="preserve"> </w:t>
            </w:r>
            <w:proofErr w:type="spellStart"/>
            <w:r>
              <w:t>форму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заполнении</w:t>
            </w:r>
            <w:proofErr w:type="spellEnd"/>
            <w:r>
              <w:t xml:space="preserve">,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незаметен</w:t>
            </w:r>
            <w:proofErr w:type="spellEnd"/>
            <w:r>
              <w:t xml:space="preserve"> и </w:t>
            </w:r>
            <w:proofErr w:type="spellStart"/>
            <w:r>
              <w:t>бесшумен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8F2C11" w:rsidRDefault="008F2C11" w:rsidP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17500</w:t>
            </w:r>
          </w:p>
        </w:tc>
      </w:tr>
      <w:tr w:rsidR="007104EB">
        <w:trPr>
          <w:trHeight w:val="660"/>
        </w:trPr>
        <w:tc>
          <w:tcPr>
            <w:tcW w:w="26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7104EB"/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Мешок</w:t>
            </w:r>
            <w:proofErr w:type="spellEnd"/>
            <w:r>
              <w:t xml:space="preserve"> «</w:t>
            </w:r>
            <w:proofErr w:type="spellStart"/>
            <w:r>
              <w:t>ночной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мягкого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раздражающего</w:t>
            </w:r>
            <w:proofErr w:type="spellEnd"/>
            <w:r>
              <w:t xml:space="preserve"> </w:t>
            </w:r>
            <w:proofErr w:type="spellStart"/>
            <w:r>
              <w:t>кожу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невозвратный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исключающий</w:t>
            </w:r>
            <w:proofErr w:type="spellEnd"/>
            <w:r>
              <w:t xml:space="preserve"> </w:t>
            </w:r>
            <w:proofErr w:type="spellStart"/>
            <w:r>
              <w:t>ретроградное</w:t>
            </w:r>
            <w:proofErr w:type="spellEnd"/>
            <w:r>
              <w:t xml:space="preserve"> </w:t>
            </w:r>
            <w:proofErr w:type="spellStart"/>
            <w:r>
              <w:t>протекание</w:t>
            </w:r>
            <w:proofErr w:type="spellEnd"/>
            <w:r>
              <w:t xml:space="preserve"> </w:t>
            </w:r>
            <w:proofErr w:type="spellStart"/>
            <w:r>
              <w:t>жидкости</w:t>
            </w:r>
            <w:proofErr w:type="spellEnd"/>
            <w:r>
              <w:t xml:space="preserve">. </w:t>
            </w:r>
            <w:proofErr w:type="spellStart"/>
            <w:r>
              <w:t>Прямой</w:t>
            </w:r>
            <w:proofErr w:type="spellEnd"/>
            <w:r>
              <w:t xml:space="preserve"> </w:t>
            </w:r>
            <w:proofErr w:type="spellStart"/>
            <w:r>
              <w:t>кран</w:t>
            </w:r>
            <w:proofErr w:type="spellEnd"/>
            <w:r>
              <w:t xml:space="preserve"> </w:t>
            </w:r>
            <w:proofErr w:type="spellStart"/>
            <w:r>
              <w:t>быстрого</w:t>
            </w:r>
            <w:proofErr w:type="spellEnd"/>
            <w:r>
              <w:t xml:space="preserve"> </w:t>
            </w:r>
            <w:proofErr w:type="spellStart"/>
            <w:r>
              <w:t>слива</w:t>
            </w:r>
            <w:proofErr w:type="spellEnd"/>
            <w:r>
              <w:t xml:space="preserve">, </w:t>
            </w:r>
            <w:proofErr w:type="spellStart"/>
            <w:r>
              <w:t>позволяющий</w:t>
            </w:r>
            <w:proofErr w:type="spellEnd"/>
            <w:r>
              <w:t xml:space="preserve"> </w:t>
            </w:r>
            <w:proofErr w:type="spellStart"/>
            <w:r>
              <w:t>легко</w:t>
            </w:r>
            <w:proofErr w:type="spellEnd"/>
            <w:r>
              <w:t xml:space="preserve"> и </w:t>
            </w:r>
            <w:proofErr w:type="spellStart"/>
            <w:r>
              <w:t>быстро</w:t>
            </w:r>
            <w:proofErr w:type="spellEnd"/>
            <w:r>
              <w:t xml:space="preserve"> </w:t>
            </w:r>
            <w:proofErr w:type="spellStart"/>
            <w:r>
              <w:t>опорожнить</w:t>
            </w:r>
            <w:proofErr w:type="spellEnd"/>
            <w:r>
              <w:t xml:space="preserve"> </w:t>
            </w:r>
            <w:proofErr w:type="spellStart"/>
            <w:r>
              <w:t>мочеприемник</w:t>
            </w:r>
            <w:proofErr w:type="spellEnd"/>
            <w:r>
              <w:t xml:space="preserve">.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перекручивающаяся</w:t>
            </w:r>
            <w:proofErr w:type="spellEnd"/>
            <w:r>
              <w:t xml:space="preserve"> </w:t>
            </w:r>
            <w:proofErr w:type="spellStart"/>
            <w:r>
              <w:t>приводная</w:t>
            </w:r>
            <w:proofErr w:type="spellEnd"/>
            <w:r>
              <w:t xml:space="preserve"> </w:t>
            </w:r>
            <w:proofErr w:type="spellStart"/>
            <w:r>
              <w:t>трубка</w:t>
            </w:r>
            <w:proofErr w:type="spellEnd"/>
            <w:r>
              <w:t xml:space="preserve">. </w:t>
            </w:r>
            <w:r>
              <w:rPr>
                <w:lang w:val="ru-RU"/>
              </w:rPr>
              <w:t>Объем</w:t>
            </w:r>
            <w:r>
              <w:t xml:space="preserve"> </w:t>
            </w:r>
            <w:r>
              <w:rPr>
                <w:lang w:val="ru-RU"/>
              </w:rPr>
              <w:t xml:space="preserve">мешка должен быть не менее </w:t>
            </w:r>
            <w:r>
              <w:t xml:space="preserve">1500 </w:t>
            </w:r>
            <w:proofErr w:type="spellStart"/>
            <w:r>
              <w:t>мл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усиленные</w:t>
            </w:r>
            <w:proofErr w:type="spellEnd"/>
            <w:r>
              <w:t xml:space="preserve"> </w:t>
            </w:r>
            <w:proofErr w:type="spellStart"/>
            <w:r>
              <w:t>отверстия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мочеприемника</w:t>
            </w:r>
            <w:proofErr w:type="spellEnd"/>
            <w:r>
              <w:t xml:space="preserve"> к </w:t>
            </w:r>
            <w:proofErr w:type="spellStart"/>
            <w:r>
              <w:t>кровати</w:t>
            </w:r>
            <w:proofErr w:type="spellEnd"/>
            <w:r>
              <w:t xml:space="preserve"> и </w:t>
            </w:r>
            <w:proofErr w:type="spellStart"/>
            <w:r>
              <w:t>герметичную</w:t>
            </w:r>
            <w:proofErr w:type="spellEnd"/>
            <w:r>
              <w:t xml:space="preserve"> </w:t>
            </w:r>
            <w:proofErr w:type="spellStart"/>
            <w:r>
              <w:t>заглушку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спуска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дренажной</w:t>
            </w:r>
            <w:proofErr w:type="spellEnd"/>
            <w:r>
              <w:t xml:space="preserve"> </w:t>
            </w:r>
            <w:proofErr w:type="spellStart"/>
            <w:r>
              <w:t>трубки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8F2C11" w:rsidRDefault="008F2C11" w:rsidP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17500</w:t>
            </w:r>
          </w:p>
        </w:tc>
      </w:tr>
      <w:tr w:rsidR="007104EB">
        <w:trPr>
          <w:trHeight w:val="660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самоклеящийся 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высококачественного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вызывающего</w:t>
            </w:r>
            <w:proofErr w:type="spellEnd"/>
            <w:r>
              <w:t xml:space="preserve"> </w:t>
            </w:r>
            <w:proofErr w:type="spellStart"/>
            <w:r>
              <w:t>раздражение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самоклеящийся</w:t>
            </w:r>
            <w:r>
              <w:t xml:space="preserve">. </w:t>
            </w: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постоянный</w:t>
            </w:r>
            <w:proofErr w:type="spellEnd"/>
            <w:r>
              <w:t xml:space="preserve"> и </w:t>
            </w:r>
            <w:proofErr w:type="spellStart"/>
            <w:r>
              <w:t>беспрепятственный</w:t>
            </w:r>
            <w:proofErr w:type="spellEnd"/>
            <w:r>
              <w:t xml:space="preserve"> </w:t>
            </w:r>
            <w:proofErr w:type="spellStart"/>
            <w:r>
              <w:t>отток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>.</w:t>
            </w:r>
          </w:p>
          <w:p w:rsidR="007104EB" w:rsidRDefault="00A762DD">
            <w:pPr>
              <w:pStyle w:val="a4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в </w:t>
            </w:r>
            <w:proofErr w:type="spellStart"/>
            <w:r>
              <w:t>отдельности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. </w:t>
            </w:r>
            <w:proofErr w:type="spellStart"/>
            <w:r>
              <w:t>Уропрезервативы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следующие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диаметру</w:t>
            </w:r>
            <w:proofErr w:type="spellEnd"/>
            <w:r>
              <w:t xml:space="preserve"> 25±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мм</w:t>
            </w:r>
            <w:r>
              <w:t>, 30±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мм</w:t>
            </w:r>
            <w:r>
              <w:t xml:space="preserve">, 35±2 </w:t>
            </w:r>
            <w:r>
              <w:rPr>
                <w:lang w:val="ru-RU"/>
              </w:rPr>
              <w:t>мм</w:t>
            </w:r>
            <w:r>
              <w:t xml:space="preserve">. </w:t>
            </w:r>
          </w:p>
          <w:p w:rsidR="007104EB" w:rsidRDefault="00A762DD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должен быть в  индивидуальной упаковке.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8F2C11" w:rsidRDefault="008F2C11" w:rsidP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5220</w:t>
            </w:r>
          </w:p>
        </w:tc>
      </w:tr>
      <w:tr w:rsidR="007104EB" w:rsidTr="00442074">
        <w:trPr>
          <w:trHeight w:val="660"/>
        </w:trPr>
        <w:tc>
          <w:tcPr>
            <w:tcW w:w="26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с пластырем</w:t>
            </w: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 w:rsidP="00B91950">
            <w:pPr>
              <w:pStyle w:val="a4"/>
              <w:jc w:val="both"/>
            </w:pP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высококачественного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вызывающего</w:t>
            </w:r>
            <w:proofErr w:type="spellEnd"/>
            <w:r>
              <w:t xml:space="preserve"> </w:t>
            </w:r>
            <w:proofErr w:type="spellStart"/>
            <w:r>
              <w:t>раздражение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Фиксация</w:t>
            </w:r>
            <w:proofErr w:type="spellEnd"/>
            <w:r>
              <w:t xml:space="preserve"> </w:t>
            </w:r>
            <w:proofErr w:type="spellStart"/>
            <w:r>
              <w:t>уропрезерватива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производиться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двухстороннего</w:t>
            </w:r>
            <w:proofErr w:type="spellEnd"/>
            <w:r>
              <w:t xml:space="preserve"> </w:t>
            </w:r>
            <w:proofErr w:type="spellStart"/>
            <w:r>
              <w:t>адгезивного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 (</w:t>
            </w:r>
            <w:proofErr w:type="spellStart"/>
            <w:r>
              <w:t>адгезив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располагаться</w:t>
            </w:r>
            <w:proofErr w:type="spellEnd"/>
            <w:r>
              <w:t xml:space="preserve"> с </w:t>
            </w:r>
            <w:proofErr w:type="spellStart"/>
            <w:r>
              <w:t>обеих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). </w:t>
            </w:r>
            <w:proofErr w:type="spellStart"/>
            <w:r>
              <w:t>Пластырь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препятствовать</w:t>
            </w:r>
            <w:proofErr w:type="spellEnd"/>
            <w:r>
              <w:t xml:space="preserve"> </w:t>
            </w:r>
            <w:proofErr w:type="spellStart"/>
            <w:r>
              <w:t>местному</w:t>
            </w:r>
            <w:proofErr w:type="spellEnd"/>
            <w:r>
              <w:t xml:space="preserve"> </w:t>
            </w:r>
            <w:proofErr w:type="spellStart"/>
            <w:r>
              <w:t>кровообращению</w:t>
            </w:r>
            <w:proofErr w:type="spellEnd"/>
            <w:r>
              <w:t xml:space="preserve"> и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обладать</w:t>
            </w:r>
            <w:proofErr w:type="spellEnd"/>
            <w:r>
              <w:t xml:space="preserve"> </w:t>
            </w:r>
            <w:proofErr w:type="spellStart"/>
            <w:r>
              <w:t>эластичностью</w:t>
            </w:r>
            <w:proofErr w:type="spellEnd"/>
            <w:r>
              <w:t xml:space="preserve"> и </w:t>
            </w:r>
            <w:proofErr w:type="spellStart"/>
            <w:r>
              <w:t>эффектом</w:t>
            </w:r>
            <w:proofErr w:type="spellEnd"/>
            <w:r>
              <w:t xml:space="preserve"> «</w:t>
            </w:r>
            <w:proofErr w:type="spellStart"/>
            <w:r>
              <w:t>памяти</w:t>
            </w:r>
            <w:proofErr w:type="spellEnd"/>
            <w:r>
              <w:t xml:space="preserve">». </w:t>
            </w:r>
            <w:proofErr w:type="spellStart"/>
            <w:r>
              <w:t>Гидроколлоидный</w:t>
            </w:r>
            <w:proofErr w:type="spellEnd"/>
            <w:r>
              <w:t xml:space="preserve"> </w:t>
            </w:r>
            <w:proofErr w:type="spellStart"/>
            <w:r>
              <w:t>адгезив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сохранять</w:t>
            </w:r>
            <w:proofErr w:type="spellEnd"/>
            <w:r>
              <w:t xml:space="preserve"> </w:t>
            </w:r>
            <w:proofErr w:type="spellStart"/>
            <w:r>
              <w:t>физиологическое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Конец</w:t>
            </w:r>
            <w:proofErr w:type="spellEnd"/>
            <w:r>
              <w:t xml:space="preserve"> </w:t>
            </w:r>
            <w:proofErr w:type="spellStart"/>
            <w:r>
              <w:t>уропрезерватива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ригиден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закручиваться</w:t>
            </w:r>
            <w:proofErr w:type="spellEnd"/>
            <w:r>
              <w:t xml:space="preserve">)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беспрепятственного</w:t>
            </w:r>
            <w:proofErr w:type="spellEnd"/>
            <w:r>
              <w:t xml:space="preserve"> </w:t>
            </w:r>
            <w:proofErr w:type="spellStart"/>
            <w:r>
              <w:t>оттока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и </w:t>
            </w:r>
            <w:proofErr w:type="spellStart"/>
            <w:r>
              <w:t>устранения</w:t>
            </w:r>
            <w:proofErr w:type="spellEnd"/>
            <w:r>
              <w:t xml:space="preserve"> </w:t>
            </w:r>
            <w:proofErr w:type="spellStart"/>
            <w:r>
              <w:t>её</w:t>
            </w:r>
            <w:proofErr w:type="spellEnd"/>
            <w:r>
              <w:t xml:space="preserve"> </w:t>
            </w:r>
            <w:proofErr w:type="spellStart"/>
            <w:r>
              <w:t>обратного</w:t>
            </w:r>
            <w:proofErr w:type="spellEnd"/>
            <w:r>
              <w:t xml:space="preserve"> </w:t>
            </w:r>
            <w:proofErr w:type="spellStart"/>
            <w:r>
              <w:t>заброса</w:t>
            </w:r>
            <w:proofErr w:type="spellEnd"/>
            <w:r>
              <w:t xml:space="preserve">. </w:t>
            </w:r>
          </w:p>
          <w:p w:rsidR="007104EB" w:rsidRDefault="00A762DD" w:rsidP="00B91950">
            <w:pPr>
              <w:pStyle w:val="a4"/>
              <w:jc w:val="both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в </w:t>
            </w:r>
            <w:proofErr w:type="spellStart"/>
            <w:r>
              <w:t>отдельности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. </w:t>
            </w:r>
            <w:proofErr w:type="spellStart"/>
            <w:r>
              <w:t>Уропрезервативы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следующие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диаметру</w:t>
            </w:r>
            <w:proofErr w:type="spellEnd"/>
            <w:r>
              <w:t xml:space="preserve"> 25±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 xml:space="preserve">мм, </w:t>
            </w:r>
            <w:r>
              <w:t xml:space="preserve">30±2 </w:t>
            </w:r>
            <w:r>
              <w:rPr>
                <w:lang w:val="ru-RU"/>
              </w:rPr>
              <w:t>мм</w:t>
            </w:r>
            <w:r>
              <w:t xml:space="preserve">, </w:t>
            </w:r>
            <w:r>
              <w:lastRenderedPageBreak/>
              <w:t xml:space="preserve">35±2 </w:t>
            </w:r>
            <w:r>
              <w:rPr>
                <w:lang w:val="ru-RU"/>
              </w:rPr>
              <w:t>мм.</w:t>
            </w:r>
          </w:p>
          <w:p w:rsidR="007104EB" w:rsidRDefault="00A762DD" w:rsidP="00B91950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должен быть в  индивидуальной упаковке.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1950" w:rsidRPr="008F2C11" w:rsidRDefault="008F2C11" w:rsidP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7080</w:t>
            </w:r>
          </w:p>
        </w:tc>
      </w:tr>
      <w:tr w:rsidR="00442074" w:rsidTr="00442074">
        <w:trPr>
          <w:trHeight w:val="660"/>
        </w:trPr>
        <w:tc>
          <w:tcPr>
            <w:tcW w:w="26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 w:rsidP="00442074">
            <w:pPr>
              <w:pStyle w:val="aa"/>
              <w:jc w:val="center"/>
            </w:pPr>
            <w:r>
              <w:lastRenderedPageBreak/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в комплекте: адгезивная пластина плоская, </w:t>
            </w:r>
            <w:proofErr w:type="spellStart"/>
            <w:r>
              <w:rPr>
                <w:color w:val="000000"/>
              </w:rPr>
              <w:t>уростомный</w:t>
            </w:r>
            <w:proofErr w:type="spellEnd"/>
            <w:r>
              <w:rPr>
                <w:color w:val="000000"/>
              </w:rPr>
              <w:t xml:space="preserve"> мешок</w:t>
            </w:r>
          </w:p>
          <w:p w:rsidR="00442074" w:rsidRDefault="004420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442074" w:rsidP="00442074">
            <w:pPr>
              <w:pStyle w:val="aa"/>
              <w:jc w:val="both"/>
            </w:pPr>
            <w:proofErr w:type="gramStart"/>
            <w:r>
              <w:t xml:space="preserve">Адгезивная пластина двухкомпонентного </w:t>
            </w:r>
            <w:proofErr w:type="spellStart"/>
            <w:r>
              <w:t>уроприемника</w:t>
            </w:r>
            <w:proofErr w:type="spellEnd"/>
            <w:r>
              <w:t xml:space="preserve"> должна быть из натурального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гидроколлоида</w:t>
            </w:r>
            <w:proofErr w:type="spellEnd"/>
            <w:r>
              <w:t xml:space="preserve"> с фланцевыми кольцами размером 50 мм.</w:t>
            </w:r>
            <w:proofErr w:type="gramEnd"/>
            <w:r>
              <w:t xml:space="preserve"> Фланец пластины должен соответствовать фланцу мешка. Пластина должна быть гибкая и легко адаптироваться к форме живота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8F2C11" w:rsidP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442074">
        <w:trPr>
          <w:trHeight w:val="660"/>
        </w:trPr>
        <w:tc>
          <w:tcPr>
            <w:tcW w:w="26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442074" w:rsidP="00442074">
            <w:pPr>
              <w:pStyle w:val="aa"/>
              <w:jc w:val="both"/>
              <w:rPr>
                <w:lang w:val="de-DE"/>
              </w:rPr>
            </w:pPr>
            <w:bookmarkStart w:id="0" w:name="OLE_LINK3"/>
            <w:bookmarkStart w:id="1" w:name="OLE_LINK2"/>
            <w:bookmarkEnd w:id="0"/>
            <w:bookmarkEnd w:id="1"/>
            <w:proofErr w:type="gramStart"/>
            <w:r>
              <w:t xml:space="preserve">Мешок двухкомпонентного </w:t>
            </w:r>
            <w:proofErr w:type="spellStart"/>
            <w:r>
              <w:t>уроприемника</w:t>
            </w:r>
            <w:proofErr w:type="spellEnd"/>
            <w:r>
              <w:t xml:space="preserve"> должен быть дренируемый, </w:t>
            </w:r>
            <w:proofErr w:type="spellStart"/>
            <w:r>
              <w:t>стомный</w:t>
            </w:r>
            <w:proofErr w:type="spellEnd"/>
            <w:r>
              <w:t xml:space="preserve"> мешок должен быть из непрозрачного/прозрачного многослойного, не пропускающего запах, не шуршащего материала с запайкой, с мягкой нетканой подложкой.</w:t>
            </w:r>
            <w:proofErr w:type="gramEnd"/>
            <w:r>
              <w:t xml:space="preserve"> </w:t>
            </w:r>
            <w:proofErr w:type="spellStart"/>
            <w:r>
              <w:rPr>
                <w:lang w:val="de-DE"/>
              </w:rPr>
              <w:t>Фланцевые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кольца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должны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быть</w:t>
            </w:r>
            <w:proofErr w:type="spellEnd"/>
            <w:r>
              <w:rPr>
                <w:lang w:val="de-DE"/>
              </w:rPr>
              <w:t xml:space="preserve"> </w:t>
            </w:r>
            <w:r>
              <w:t>не менее 50 мм</w:t>
            </w:r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полностью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совместимы</w:t>
            </w:r>
            <w:proofErr w:type="spellEnd"/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адаптированы</w:t>
            </w:r>
            <w:proofErr w:type="spellEnd"/>
            <w:r>
              <w:rPr>
                <w:lang w:val="de-DE"/>
              </w:rPr>
              <w:t xml:space="preserve"> к </w:t>
            </w:r>
            <w:proofErr w:type="spellStart"/>
            <w:r>
              <w:rPr>
                <w:lang w:val="de-DE"/>
              </w:rPr>
              <w:t>пластинам</w:t>
            </w:r>
            <w:proofErr w:type="spellEnd"/>
            <w:r>
              <w:rPr>
                <w:lang w:val="de-DE"/>
              </w:rPr>
              <w:t xml:space="preserve">, в </w:t>
            </w:r>
            <w:proofErr w:type="spellStart"/>
            <w:r>
              <w:rPr>
                <w:lang w:val="de-DE"/>
              </w:rPr>
              <w:t>том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числе</w:t>
            </w:r>
            <w:proofErr w:type="spellEnd"/>
            <w:r>
              <w:rPr>
                <w:lang w:val="de-DE"/>
              </w:rPr>
              <w:t xml:space="preserve"> и к </w:t>
            </w:r>
            <w:proofErr w:type="spellStart"/>
            <w:r>
              <w:rPr>
                <w:lang w:val="de-DE"/>
              </w:rPr>
              <w:t>замку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фланцевого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соединения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Зажим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застёжки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должен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полностью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обеспечивать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герметичность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мешка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8F2C11" w:rsidP="008F2C11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  <w:bookmarkStart w:id="2" w:name="_GoBack"/>
            <w:bookmarkEnd w:id="2"/>
          </w:p>
        </w:tc>
      </w:tr>
    </w:tbl>
    <w:p w:rsidR="007104EB" w:rsidRDefault="007104EB">
      <w:pPr>
        <w:pStyle w:val="a4"/>
        <w:spacing w:after="0"/>
        <w:ind w:firstLine="709"/>
        <w:jc w:val="center"/>
        <w:rPr>
          <w:b/>
        </w:rPr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7104EB" w:rsidRDefault="00A762DD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7104EB" w:rsidRDefault="007104EB">
      <w:pPr>
        <w:pStyle w:val="a4"/>
        <w:spacing w:after="0"/>
        <w:ind w:firstLine="709"/>
        <w:jc w:val="both"/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7104EB" w:rsidRDefault="00A762DD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r>
        <w:rPr>
          <w:color w:val="212121"/>
          <w:lang w:val="ru-RU"/>
        </w:rPr>
        <w:t>нарушениях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</w:t>
      </w:r>
      <w:proofErr w:type="spellEnd"/>
      <w:r>
        <w:rPr>
          <w:color w:val="212121"/>
          <w:lang w:val="ru-RU"/>
        </w:rPr>
        <w:t>й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м</w:t>
      </w:r>
      <w:proofErr w:type="spellStart"/>
      <w:r>
        <w:rPr>
          <w:color w:val="212121"/>
        </w:rPr>
        <w:t>очеприемники</w:t>
      </w:r>
      <w:proofErr w:type="spellEnd"/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7104EB" w:rsidRDefault="007104EB">
      <w:pPr>
        <w:pStyle w:val="a4"/>
        <w:tabs>
          <w:tab w:val="left" w:pos="709"/>
          <w:tab w:val="right" w:leader="dot" w:pos="10435"/>
        </w:tabs>
        <w:spacing w:after="0"/>
        <w:jc w:val="both"/>
      </w:pPr>
    </w:p>
    <w:p w:rsidR="007104EB" w:rsidRDefault="00A762DD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7104EB" w:rsidRDefault="00A762DD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Минтруда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России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от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r w:rsidR="00C836F3">
        <w:rPr>
          <w:rFonts w:ascii="Times New Roman;serif" w:hAnsi="Times New Roman;serif"/>
          <w:color w:val="000000"/>
          <w:lang w:val="ru-RU"/>
        </w:rPr>
        <w:t>13</w:t>
      </w:r>
      <w:r>
        <w:rPr>
          <w:rFonts w:ascii="Times New Roman;serif" w:hAnsi="Times New Roman;serif"/>
          <w:color w:val="000000"/>
        </w:rPr>
        <w:t>.0</w:t>
      </w:r>
      <w:r w:rsidR="00C836F3">
        <w:rPr>
          <w:rFonts w:ascii="Times New Roman;serif" w:hAnsi="Times New Roman;serif"/>
          <w:color w:val="000000"/>
          <w:lang w:val="ru-RU"/>
        </w:rPr>
        <w:t>2</w:t>
      </w:r>
      <w:r>
        <w:rPr>
          <w:rFonts w:ascii="Times New Roman;serif" w:hAnsi="Times New Roman;serif"/>
          <w:color w:val="000000"/>
        </w:rPr>
        <w:t>.201</w:t>
      </w:r>
      <w:r w:rsidR="00C836F3">
        <w:rPr>
          <w:rFonts w:ascii="Times New Roman;serif" w:hAnsi="Times New Roman;serif"/>
          <w:color w:val="000000"/>
          <w:lang w:val="ru-RU"/>
        </w:rPr>
        <w:t>8</w:t>
      </w:r>
      <w:r w:rsidR="00C836F3">
        <w:rPr>
          <w:rFonts w:ascii="Times New Roman;serif" w:hAnsi="Times New Roman;serif"/>
          <w:color w:val="000000"/>
        </w:rPr>
        <w:t xml:space="preserve"> № </w:t>
      </w:r>
      <w:r w:rsidR="00C836F3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sectPr w:rsidR="007104EB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104EB"/>
    <w:rsid w:val="00442074"/>
    <w:rsid w:val="007104EB"/>
    <w:rsid w:val="008F2C11"/>
    <w:rsid w:val="00A762DD"/>
    <w:rsid w:val="00B91950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442074"/>
    <w:pPr>
      <w:widowControl/>
      <w:spacing w:before="100" w:beforeAutospacing="1" w:after="119"/>
    </w:pPr>
    <w:rPr>
      <w:rFonts w:eastAsia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7AC5-A0BF-4AF3-AD9F-EC4BC7E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 В. Маркова</cp:lastModifiedBy>
  <cp:revision>61</cp:revision>
  <dcterms:created xsi:type="dcterms:W3CDTF">2009-04-16T11:32:00Z</dcterms:created>
  <dcterms:modified xsi:type="dcterms:W3CDTF">2018-12-03T13:38:00Z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