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F" w:rsidRDefault="002D195F" w:rsidP="002D195F">
      <w:pPr>
        <w:pStyle w:val="a3"/>
        <w:jc w:val="center"/>
        <w:rPr>
          <w:b/>
          <w:sz w:val="24"/>
          <w:szCs w:val="24"/>
          <w:lang w:val="en-US"/>
        </w:rPr>
      </w:pPr>
    </w:p>
    <w:p w:rsidR="00621C91" w:rsidRPr="00FB6C75" w:rsidRDefault="006A3B9E" w:rsidP="002D195F">
      <w:pPr>
        <w:pStyle w:val="a3"/>
        <w:jc w:val="center"/>
        <w:rPr>
          <w:b/>
        </w:rPr>
      </w:pPr>
      <w:r w:rsidRPr="006A3B9E">
        <w:rPr>
          <w:b/>
          <w:sz w:val="24"/>
          <w:szCs w:val="24"/>
        </w:rPr>
        <w:t>ТЕХНИЧЕСКОЕ ЗАДАНИЕ</w:t>
      </w:r>
    </w:p>
    <w:p w:rsidR="006F7878" w:rsidRDefault="006A3B9E" w:rsidP="006A3B9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объекта закупки: Поставка </w:t>
      </w:r>
      <w:r w:rsidR="00FB6C75">
        <w:rPr>
          <w:sz w:val="22"/>
          <w:szCs w:val="22"/>
        </w:rPr>
        <w:t>слуховых аппаратов.</w:t>
      </w:r>
    </w:p>
    <w:p w:rsidR="006A3B9E" w:rsidRDefault="006A3B9E">
      <w:pPr>
        <w:pStyle w:val="a3"/>
        <w:ind w:firstLine="426"/>
        <w:jc w:val="both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103"/>
        <w:gridCol w:w="2092"/>
      </w:tblGrid>
      <w:tr w:rsidR="006F7878" w:rsidTr="006A3B9E">
        <w:trPr>
          <w:trHeight w:val="910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6F7878" w:rsidRDefault="006F7878">
            <w:pPr>
              <w:pStyle w:val="a3"/>
              <w:jc w:val="center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сверхмощные должны иметь: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6A3B9E">
              <w:rPr>
                <w:sz w:val="22"/>
                <w:szCs w:val="22"/>
              </w:rPr>
              <w:t>аксимальный ВУЗД 90</w:t>
            </w:r>
            <w:r w:rsidR="00D45D2A">
              <w:rPr>
                <w:sz w:val="22"/>
                <w:szCs w:val="22"/>
              </w:rPr>
              <w:t xml:space="preserve">: </w:t>
            </w:r>
            <w:r w:rsidR="006A3B9E">
              <w:rPr>
                <w:sz w:val="22"/>
                <w:szCs w:val="22"/>
              </w:rPr>
              <w:t>от 135 дБ.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– не менее</w:t>
            </w:r>
            <w:r w:rsidR="006A3B9E">
              <w:rPr>
                <w:sz w:val="22"/>
                <w:szCs w:val="22"/>
              </w:rPr>
              <w:t xml:space="preserve"> 78Дб.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0,2 – 4,5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Регулировку ТНЧ, ТВЧ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Ушной вкладыш.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9F3A44" w:rsidRDefault="009F3A4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F7878" w:rsidTr="006A3B9E">
        <w:trPr>
          <w:trHeight w:val="55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мощные должны иметь: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D45D2A">
              <w:rPr>
                <w:sz w:val="22"/>
                <w:szCs w:val="22"/>
              </w:rPr>
              <w:t xml:space="preserve">аксимальный ВУЗД 90: </w:t>
            </w:r>
            <w:r w:rsidR="006A3B9E">
              <w:rPr>
                <w:sz w:val="22"/>
                <w:szCs w:val="22"/>
              </w:rPr>
              <w:t xml:space="preserve">от 130 до 140 </w:t>
            </w:r>
            <w:proofErr w:type="spellStart"/>
            <w:r w:rsidR="006A3B9E">
              <w:rPr>
                <w:sz w:val="22"/>
                <w:szCs w:val="22"/>
              </w:rPr>
              <w:t>Дб</w:t>
            </w:r>
            <w:proofErr w:type="spellEnd"/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6A3B9E">
              <w:rPr>
                <w:sz w:val="22"/>
                <w:szCs w:val="22"/>
              </w:rPr>
              <w:t xml:space="preserve">аксимальное усиление – не менее 68 </w:t>
            </w:r>
            <w:proofErr w:type="spellStart"/>
            <w:r w:rsidR="006A3B9E">
              <w:rPr>
                <w:sz w:val="22"/>
                <w:szCs w:val="22"/>
              </w:rPr>
              <w:t>Дб</w:t>
            </w:r>
            <w:proofErr w:type="spellEnd"/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0,2 – 4,5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Регулировку ТНЧ, ВУЗД.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Переключатель режимов (</w:t>
            </w:r>
            <w:proofErr w:type="gramStart"/>
            <w:r>
              <w:rPr>
                <w:sz w:val="22"/>
                <w:szCs w:val="22"/>
              </w:rPr>
              <w:t>М-Т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Ушной вкладыш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A868CA" w:rsidRDefault="009F3A4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аналоговый заушный средней мощности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средней мощности должны иметь: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>- м</w:t>
            </w:r>
            <w:r w:rsidR="006A3B9E">
              <w:rPr>
                <w:sz w:val="22"/>
                <w:szCs w:val="22"/>
              </w:rPr>
              <w:t>аксимальный ВУЗД 90</w:t>
            </w:r>
            <w:r w:rsidR="00D45D2A">
              <w:rPr>
                <w:sz w:val="22"/>
                <w:szCs w:val="22"/>
              </w:rPr>
              <w:t xml:space="preserve">: </w:t>
            </w:r>
            <w:r w:rsidR="006A3B9E">
              <w:rPr>
                <w:sz w:val="22"/>
                <w:szCs w:val="22"/>
              </w:rPr>
              <w:t>от 124 до 128 дБ.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не менее </w:t>
            </w:r>
            <w:r w:rsidR="006A3B9E">
              <w:rPr>
                <w:sz w:val="22"/>
                <w:szCs w:val="22"/>
              </w:rPr>
              <w:t xml:space="preserve">50 </w:t>
            </w:r>
            <w:proofErr w:type="spellStart"/>
            <w:r w:rsidR="006A3B9E">
              <w:rPr>
                <w:sz w:val="22"/>
                <w:szCs w:val="22"/>
              </w:rPr>
              <w:t>Дб</w:t>
            </w:r>
            <w:proofErr w:type="spellEnd"/>
            <w:r w:rsidR="006A3B9E">
              <w:rPr>
                <w:sz w:val="22"/>
                <w:szCs w:val="22"/>
              </w:rPr>
              <w:t xml:space="preserve"> и выше.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0,2 – 4,5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Регулировку ТНЧ и АРУ.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Индукционную катушку.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Переключатель режимов (</w:t>
            </w:r>
            <w:proofErr w:type="gramStart"/>
            <w:r>
              <w:rPr>
                <w:sz w:val="22"/>
                <w:szCs w:val="22"/>
              </w:rPr>
              <w:t>М-Т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Ушной вкладыш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A868CA" w:rsidRDefault="009F3A4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сверхмощные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</w:t>
            </w:r>
            <w:r w:rsidR="00B03576">
              <w:rPr>
                <w:sz w:val="22"/>
                <w:szCs w:val="22"/>
              </w:rPr>
              <w:t xml:space="preserve">максимальный </w:t>
            </w:r>
            <w:r>
              <w:rPr>
                <w:sz w:val="22"/>
                <w:szCs w:val="22"/>
              </w:rPr>
              <w:t>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131дБ до 142 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от 70 дБ до 82 </w:t>
            </w:r>
            <w:proofErr w:type="gramStart"/>
            <w:r>
              <w:rPr>
                <w:sz w:val="22"/>
                <w:szCs w:val="22"/>
              </w:rPr>
              <w:t>дБ.;</w:t>
            </w:r>
            <w:proofErr w:type="gramEnd"/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4,9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  <w:p w:rsidR="006F7878" w:rsidRPr="009F3A44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</w:t>
            </w:r>
            <w:r w:rsidR="00A70BF6">
              <w:rPr>
                <w:sz w:val="22"/>
                <w:szCs w:val="22"/>
              </w:rPr>
              <w:t>переключения программ.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9F3A44" w:rsidRDefault="009F3A4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130дБ до 140дБ;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не менее </w:t>
            </w:r>
            <w:r w:rsidR="006A3B9E">
              <w:rPr>
                <w:sz w:val="22"/>
                <w:szCs w:val="22"/>
              </w:rPr>
              <w:t xml:space="preserve">65 дБ 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6,5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lastRenderedPageBreak/>
              <w:t>- система направленных микрофонов;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переключения программ;</w:t>
            </w:r>
          </w:p>
          <w:p w:rsidR="006F7878" w:rsidRPr="009F3A44" w:rsidRDefault="006A3B9E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8D1231" w:rsidRDefault="009F3A44" w:rsidP="00A868C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Pr="00B03576" w:rsidRDefault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средней мощности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120дБ;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60 дБ до 65дБ.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7,5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</w:t>
            </w:r>
            <w:r w:rsidR="00231DDC">
              <w:rPr>
                <w:sz w:val="22"/>
                <w:szCs w:val="22"/>
              </w:rPr>
              <w:t xml:space="preserve">овой обработки звука: не менее </w:t>
            </w:r>
            <w:r w:rsidR="00231DDC" w:rsidRPr="00A868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</w:t>
            </w:r>
            <w:r w:rsidR="00942D87">
              <w:rPr>
                <w:sz w:val="22"/>
                <w:szCs w:val="22"/>
              </w:rPr>
              <w:t>переключения программ.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9F3A44" w:rsidRDefault="009F3A4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F7878" w:rsidTr="00942D87">
        <w:trPr>
          <w:trHeight w:val="343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2E" w:rsidRPr="0065692E" w:rsidRDefault="009F3A44" w:rsidP="00FA607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</w:tr>
    </w:tbl>
    <w:p w:rsidR="00942D87" w:rsidRDefault="00942D87" w:rsidP="009F3A44">
      <w:pPr>
        <w:pStyle w:val="a3"/>
        <w:keepNext/>
        <w:jc w:val="both"/>
        <w:rPr>
          <w:sz w:val="22"/>
          <w:szCs w:val="22"/>
          <w:lang w:val="en-US"/>
        </w:rPr>
      </w:pPr>
    </w:p>
    <w:p w:rsidR="00942D87" w:rsidRPr="00942D87" w:rsidRDefault="00942D87">
      <w:pPr>
        <w:pStyle w:val="a3"/>
        <w:keepNext/>
        <w:ind w:firstLine="284"/>
        <w:jc w:val="both"/>
        <w:rPr>
          <w:sz w:val="22"/>
          <w:szCs w:val="22"/>
        </w:rPr>
      </w:pPr>
      <w:r w:rsidRPr="00942D87">
        <w:rPr>
          <w:sz w:val="22"/>
          <w:szCs w:val="22"/>
        </w:rPr>
        <w:t>Гарантийный срок эксплуатации 12 месяцев с даты выдачи товара получателю и подписания поставщиком и получателем акта поставки товара</w:t>
      </w:r>
      <w:r>
        <w:rPr>
          <w:sz w:val="22"/>
          <w:szCs w:val="22"/>
        </w:rPr>
        <w:t>.</w:t>
      </w:r>
    </w:p>
    <w:p w:rsidR="006F7878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 xml:space="preserve">Срок пользования товаром устанавливается в соответствии с Приказом Минтруда России от </w:t>
      </w:r>
      <w:r w:rsidR="00942D87" w:rsidRPr="00942D87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942D87" w:rsidRPr="00942D87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6F7878" w:rsidRPr="00A868CA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9999-2014 «Вспомогательные средства для людей с ограничениями жизнедеятельности. Классификация и терминология», ГОСТ Р 50444-92 (Разд.3,4) «Приборы, аппараты и оборудование медицинские. Общие технические условия.», ГОСТ Р 51024-2012 «Аппараты слуховые электронные реабилитационные. Технические требования и методы испытаний.», ГОСТ Р 51407-99 «Совместимость технических средств электромагнитная. Слуховые аппараты. Требования и методы испытаний.»,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соединителей.», ГОСТ ИСО 10993-1-2011, ГОСТ ИСО 10993-5-2011, ГОСТ ИСО 10993-10-2011 «Изделия медицинские. Оценка биологическог</w:t>
      </w:r>
      <w:r w:rsidR="00A868CA">
        <w:rPr>
          <w:sz w:val="22"/>
          <w:szCs w:val="22"/>
        </w:rPr>
        <w:t>о действия медицинских изделий».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  <w:lang w:eastAsia="en-US"/>
        </w:rPr>
        <w:t>Товар не должен выделять при эксплуатации токсичных и агрессивных веществ.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-незаметность, комфортность;</w:t>
      </w:r>
    </w:p>
    <w:p w:rsidR="008F1067" w:rsidRPr="00A868CA" w:rsidRDefault="006A3B9E" w:rsidP="003759C4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6F7878" w:rsidRPr="00A868CA" w:rsidRDefault="006A3B9E" w:rsidP="008F106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наличие гарантийных талонов</w:t>
      </w:r>
      <w:r>
        <w:rPr>
          <w:rFonts w:ascii="Times New Roman" w:hAnsi="Times New Roman"/>
          <w:color w:val="00000A"/>
          <w:spacing w:val="0"/>
        </w:rPr>
        <w:t xml:space="preserve"> на сервисное обслуживание</w:t>
      </w:r>
      <w:r>
        <w:rPr>
          <w:rFonts w:ascii="Times New Roman" w:hAnsi="Times New Roman"/>
          <w:color w:val="00000A"/>
          <w:spacing w:val="0"/>
          <w:lang w:eastAsia="ru-RU"/>
        </w:rPr>
        <w:t>, дающих право на бесплатный ремонт товара во время гарантийного срока пользования.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F7878" w:rsidRDefault="006A3B9E">
      <w:pPr>
        <w:pStyle w:val="a3"/>
        <w:keepNext/>
        <w:tabs>
          <w:tab w:val="left" w:pos="851"/>
        </w:tabs>
        <w:ind w:firstLine="284"/>
        <w:jc w:val="both"/>
      </w:pPr>
      <w:r>
        <w:rPr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Срок поставки Товара Получателям: в </w:t>
      </w:r>
      <w:r w:rsidRPr="00942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течение 30 (тридцати) календарных дней с момента обращения Получателя к Поставщику с направлением выданным Заказчиком.</w:t>
      </w:r>
      <w:r w:rsidRPr="00942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Место поставки Товара осуществляется:</w:t>
      </w:r>
    </w:p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по </w:t>
      </w:r>
      <w:r w:rsidRPr="00942D87">
        <w:rPr>
          <w:rFonts w:ascii="Times New Roman" w:eastAsia="Times New Roman" w:hAnsi="Times New Roman" w:cs="Times New Roman"/>
          <w:sz w:val="20"/>
          <w:szCs w:val="20"/>
        </w:rPr>
        <w:t>месту жительства Получателей,</w:t>
      </w:r>
    </w:p>
    <w:p w:rsidR="006F7878" w:rsidRPr="00716C53" w:rsidRDefault="00942D87" w:rsidP="00942D87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</w:rPr>
      </w:pPr>
      <w:r w:rsidRPr="00942D87">
        <w:rPr>
          <w:color w:val="000000"/>
          <w:lang w:eastAsia="ru-RU"/>
        </w:rPr>
        <w:t>- по месту нахождения Поставщика.</w:t>
      </w:r>
    </w:p>
    <w:p w:rsidR="00942D87" w:rsidRPr="00FB6C75" w:rsidRDefault="006A3B9E" w:rsidP="00FB6C75">
      <w:pPr>
        <w:pStyle w:val="a3"/>
        <w:ind w:firstLine="284"/>
        <w:rPr>
          <w:sz w:val="22"/>
          <w:szCs w:val="22"/>
        </w:rPr>
      </w:pPr>
      <w:r>
        <w:rPr>
          <w:sz w:val="22"/>
          <w:szCs w:val="22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sectPr w:rsidR="00942D87" w:rsidRPr="00FB6C75" w:rsidSect="002D195F">
      <w:pgSz w:w="11906" w:h="16838"/>
      <w:pgMar w:top="1" w:right="850" w:bottom="142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78"/>
    <w:rsid w:val="00006412"/>
    <w:rsid w:val="00050BF2"/>
    <w:rsid w:val="00231DDC"/>
    <w:rsid w:val="00297784"/>
    <w:rsid w:val="002D195F"/>
    <w:rsid w:val="003759C4"/>
    <w:rsid w:val="003E0B0F"/>
    <w:rsid w:val="00471817"/>
    <w:rsid w:val="00621C91"/>
    <w:rsid w:val="00622501"/>
    <w:rsid w:val="0065692E"/>
    <w:rsid w:val="006A3B9E"/>
    <w:rsid w:val="006F7878"/>
    <w:rsid w:val="00716C53"/>
    <w:rsid w:val="007811F9"/>
    <w:rsid w:val="008D1231"/>
    <w:rsid w:val="008F1067"/>
    <w:rsid w:val="00915AE7"/>
    <w:rsid w:val="00942D87"/>
    <w:rsid w:val="009F3A44"/>
    <w:rsid w:val="00A61BD9"/>
    <w:rsid w:val="00A70BF6"/>
    <w:rsid w:val="00A841E0"/>
    <w:rsid w:val="00A868CA"/>
    <w:rsid w:val="00AD7278"/>
    <w:rsid w:val="00B03576"/>
    <w:rsid w:val="00B63AD0"/>
    <w:rsid w:val="00D45D2A"/>
    <w:rsid w:val="00E376E6"/>
    <w:rsid w:val="00E95260"/>
    <w:rsid w:val="00FA607A"/>
    <w:rsid w:val="00FB6C7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D3CC-C0E6-4893-9ADC-2AC8D83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0BAA-F4B2-4D0A-955F-C51E70BC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Жвакина Татьяна Анатольевна</cp:lastModifiedBy>
  <cp:revision>38</cp:revision>
  <cp:lastPrinted>2017-01-31T12:53:00Z</cp:lastPrinted>
  <dcterms:created xsi:type="dcterms:W3CDTF">2017-01-31T12:41:00Z</dcterms:created>
  <dcterms:modified xsi:type="dcterms:W3CDTF">2018-12-08T05:49:00Z</dcterms:modified>
</cp:coreProperties>
</file>