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0" w:rsidRPr="00D668A6" w:rsidRDefault="00FE3ECB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D34D0" w:rsidRPr="00D668A6" w:rsidRDefault="002D34D0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5C" w:rsidRPr="00D668A6" w:rsidRDefault="00FE3ECB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3F7" w:rsidRPr="00D668A6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3F7" w:rsidRPr="00D668A6">
        <w:rPr>
          <w:rFonts w:ascii="Times New Roman" w:hAnsi="Times New Roman" w:cs="Times New Roman"/>
          <w:sz w:val="28"/>
          <w:szCs w:val="28"/>
        </w:rPr>
        <w:t xml:space="preserve"> работ п</w:t>
      </w:r>
      <w:r w:rsidR="002D34D0" w:rsidRPr="00D668A6">
        <w:rPr>
          <w:rFonts w:ascii="Times New Roman" w:hAnsi="Times New Roman" w:cs="Times New Roman"/>
          <w:sz w:val="28"/>
          <w:szCs w:val="28"/>
        </w:rPr>
        <w:t>о</w:t>
      </w:r>
      <w:r w:rsidR="00A873F7" w:rsidRPr="00D668A6">
        <w:rPr>
          <w:rFonts w:ascii="Times New Roman" w:hAnsi="Times New Roman" w:cs="Times New Roman"/>
          <w:sz w:val="28"/>
          <w:szCs w:val="28"/>
        </w:rPr>
        <w:t xml:space="preserve"> изготовлению   </w:t>
      </w:r>
      <w:r w:rsidR="00CF75F6">
        <w:rPr>
          <w:rFonts w:ascii="Times New Roman" w:hAnsi="Times New Roman" w:cs="Times New Roman"/>
          <w:sz w:val="28"/>
          <w:szCs w:val="28"/>
        </w:rPr>
        <w:t>аппаратов</w:t>
      </w:r>
      <w:r w:rsidR="002D34D0" w:rsidRPr="00D668A6">
        <w:rPr>
          <w:rFonts w:ascii="Times New Roman" w:hAnsi="Times New Roman" w:cs="Times New Roman"/>
          <w:sz w:val="28"/>
          <w:szCs w:val="28"/>
        </w:rPr>
        <w:t xml:space="preserve"> в 201</w:t>
      </w:r>
      <w:r w:rsidR="001E4B8D">
        <w:rPr>
          <w:rFonts w:ascii="Times New Roman" w:hAnsi="Times New Roman" w:cs="Times New Roman"/>
          <w:sz w:val="28"/>
          <w:szCs w:val="28"/>
        </w:rPr>
        <w:t>9</w:t>
      </w:r>
      <w:r w:rsidR="00950B31" w:rsidRPr="00D668A6">
        <w:rPr>
          <w:rFonts w:ascii="Times New Roman" w:hAnsi="Times New Roman" w:cs="Times New Roman"/>
          <w:sz w:val="28"/>
          <w:szCs w:val="28"/>
        </w:rPr>
        <w:t xml:space="preserve"> </w:t>
      </w:r>
      <w:r w:rsidR="00665948" w:rsidRPr="00D668A6">
        <w:rPr>
          <w:rFonts w:ascii="Times New Roman" w:hAnsi="Times New Roman" w:cs="Times New Roman"/>
          <w:sz w:val="28"/>
          <w:szCs w:val="28"/>
        </w:rPr>
        <w:t>году</w:t>
      </w:r>
      <w:r w:rsidR="00A11C5C" w:rsidRPr="00D668A6">
        <w:rPr>
          <w:rFonts w:ascii="Times New Roman" w:hAnsi="Times New Roman" w:cs="Times New Roman"/>
          <w:sz w:val="28"/>
          <w:szCs w:val="28"/>
        </w:rPr>
        <w:t xml:space="preserve"> для </w:t>
      </w:r>
      <w:r w:rsidR="00A873F7" w:rsidRPr="00D668A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E4B8D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 xml:space="preserve">лидов. </w:t>
      </w:r>
    </w:p>
    <w:p w:rsidR="00D668A6" w:rsidRPr="00D668A6" w:rsidRDefault="00D668A6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6804"/>
        <w:gridCol w:w="708"/>
      </w:tblGrid>
      <w:tr w:rsidR="00FE3ECB" w:rsidRPr="00F8574D" w:rsidTr="00FE3ECB">
        <w:trPr>
          <w:trHeight w:val="920"/>
        </w:trPr>
        <w:tc>
          <w:tcPr>
            <w:tcW w:w="597" w:type="dxa"/>
          </w:tcPr>
          <w:p w:rsidR="00FE3ECB" w:rsidRPr="00F8574D" w:rsidRDefault="00FE3ECB" w:rsidP="004E1EE5">
            <w:pPr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1843" w:type="dxa"/>
          </w:tcPr>
          <w:p w:rsidR="00FE3ECB" w:rsidRPr="00F8574D" w:rsidRDefault="00FE3ECB" w:rsidP="004E1EE5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8574D">
              <w:rPr>
                <w:rFonts w:cs="Times New Roman"/>
                <w:b/>
                <w:bCs/>
              </w:rPr>
              <w:t>Наименование</w:t>
            </w:r>
            <w:proofErr w:type="spellEnd"/>
          </w:p>
          <w:p w:rsidR="00FE3ECB" w:rsidRPr="00F8574D" w:rsidRDefault="00FE3ECB" w:rsidP="004E1EE5">
            <w:pPr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изделия</w:t>
            </w:r>
          </w:p>
        </w:tc>
        <w:tc>
          <w:tcPr>
            <w:tcW w:w="6804" w:type="dxa"/>
          </w:tcPr>
          <w:p w:rsidR="00FE3ECB" w:rsidRPr="00F8574D" w:rsidRDefault="00FE3ECB" w:rsidP="004E1EE5">
            <w:pPr>
              <w:snapToGrid w:val="0"/>
              <w:ind w:left="-110" w:right="-108"/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Техническая характеристика</w:t>
            </w:r>
          </w:p>
        </w:tc>
        <w:tc>
          <w:tcPr>
            <w:tcW w:w="708" w:type="dxa"/>
            <w:vAlign w:val="center"/>
          </w:tcPr>
          <w:p w:rsidR="00FE3ECB" w:rsidRPr="00F8574D" w:rsidRDefault="00FE3ECB" w:rsidP="004E1EE5">
            <w:pPr>
              <w:ind w:right="30"/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Кол-во, шт.</w:t>
            </w:r>
          </w:p>
        </w:tc>
      </w:tr>
      <w:tr w:rsidR="00FE3ECB" w:rsidRPr="00D668A6" w:rsidTr="00FE3ECB">
        <w:tc>
          <w:tcPr>
            <w:tcW w:w="597" w:type="dxa"/>
          </w:tcPr>
          <w:p w:rsidR="00FE3ECB" w:rsidRPr="00D668A6" w:rsidRDefault="00FE3ECB" w:rsidP="00A8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3ECB" w:rsidRPr="00D668A6" w:rsidRDefault="00FE3ECB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тазобедренный сустав</w:t>
            </w:r>
          </w:p>
          <w:p w:rsidR="00FE3ECB" w:rsidRPr="00D668A6" w:rsidRDefault="00FE3ECB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3ECB" w:rsidRPr="00D668A6" w:rsidRDefault="00FE3ECB" w:rsidP="00D668A6">
            <w:pPr>
              <w:snapToGrid w:val="0"/>
              <w:ind w:left="-110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Аппарат на тазобедренный сустав должен быть фиксирующий, корри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гирующий, </w:t>
            </w:r>
            <w:proofErr w:type="spellStart"/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полукорсет</w:t>
            </w:r>
            <w:proofErr w:type="spellEnd"/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гильзы бедра и голени из различ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ных материалов: кожа, полиэтилен, слоистый пластик на основе различных связующих, с тазобедренным шарни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ром, с колен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ным шарни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ром или без него, изготовление индивидуальное по слеп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8" w:type="dxa"/>
            <w:vAlign w:val="center"/>
          </w:tcPr>
          <w:p w:rsidR="00FE3ECB" w:rsidRPr="00D668A6" w:rsidRDefault="00FE3ECB" w:rsidP="004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ECB" w:rsidRPr="00D668A6" w:rsidTr="00FE3ECB">
        <w:tc>
          <w:tcPr>
            <w:tcW w:w="597" w:type="dxa"/>
          </w:tcPr>
          <w:p w:rsidR="00FE3ECB" w:rsidRPr="00D668A6" w:rsidRDefault="00FE3ECB" w:rsidP="00A8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E3ECB" w:rsidRPr="00D668A6" w:rsidRDefault="00FE3ECB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коленный сустав</w:t>
            </w:r>
          </w:p>
          <w:p w:rsidR="00FE3ECB" w:rsidRPr="00D668A6" w:rsidRDefault="00FE3ECB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3ECB" w:rsidRPr="00D668A6" w:rsidRDefault="00FE3ECB" w:rsidP="003B6F09">
            <w:pPr>
              <w:snapToGrid w:val="0"/>
              <w:ind w:left="-110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Аппарат ортопедический на коленный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сустав, фиксирующий</w:t>
            </w:r>
            <w:r w:rsidRPr="00D66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 устройство, одеваемое на сегменты нижней конечности в целях восстановления двигательных функций. Элементы ортопедического аппарата должны быть изготовлены по 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дивидуальным параметрам получателя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приёмная </w:t>
            </w:r>
            <w:r w:rsidRPr="00D668A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гильза </w:t>
            </w:r>
            <w:r w:rsidRPr="00D668A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  <w:r w:rsidRPr="00D668A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, изготовленная по слепку. 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 xml:space="preserve"> Гильзы должны быть изготовлены из термопласта или кожа. Внутренний смягчающий слой должен быть изготовлен из вспененного термопласта. Крепление индивидуальное. Шины должны быть с замком или без замка в коленном шарнире. </w:t>
            </w:r>
            <w:r w:rsidRPr="00D668A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узлы ортопедического аппарата должны иметь конструктивно -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завершенность. Назначение – постоянное, лечебно-профилактическое.</w:t>
            </w:r>
          </w:p>
        </w:tc>
        <w:tc>
          <w:tcPr>
            <w:tcW w:w="708" w:type="dxa"/>
            <w:vAlign w:val="center"/>
          </w:tcPr>
          <w:p w:rsidR="00FE3ECB" w:rsidRPr="00D668A6" w:rsidRDefault="00FE3ECB" w:rsidP="004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ECB" w:rsidRPr="00D668A6" w:rsidTr="00FE3ECB">
        <w:tc>
          <w:tcPr>
            <w:tcW w:w="597" w:type="dxa"/>
          </w:tcPr>
          <w:p w:rsidR="00FE3ECB" w:rsidRPr="00D668A6" w:rsidRDefault="00FE3ECB" w:rsidP="00A8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FE3ECB" w:rsidRPr="00D668A6" w:rsidRDefault="00FE3ECB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всю ногу</w:t>
            </w:r>
          </w:p>
          <w:p w:rsidR="00FE3ECB" w:rsidRPr="00D668A6" w:rsidRDefault="00FE3ECB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3ECB" w:rsidRPr="00D668A6" w:rsidRDefault="00FE3ECB" w:rsidP="004E1EE5">
            <w:pPr>
              <w:pStyle w:val="a9"/>
              <w:ind w:left="-110" w:right="-108"/>
              <w:rPr>
                <w:rFonts w:ascii="Times New Roman" w:hAnsi="Times New Roman"/>
                <w:sz w:val="28"/>
                <w:szCs w:val="28"/>
              </w:rPr>
            </w:pPr>
            <w:r w:rsidRPr="00D668A6">
              <w:rPr>
                <w:rFonts w:ascii="Times New Roman" w:hAnsi="Times New Roman"/>
                <w:sz w:val="28"/>
                <w:szCs w:val="28"/>
              </w:rPr>
              <w:t>Аппарат ортопедический на всю ногу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8A6">
              <w:rPr>
                <w:rFonts w:ascii="Times New Roman" w:hAnsi="Times New Roman"/>
                <w:sz w:val="28"/>
                <w:szCs w:val="28"/>
              </w:rPr>
              <w:t xml:space="preserve"> это устройство, одеваемое на сегменты нижней конечности в целях восстановления двигательных функций. Элементы ортопедического аппарата должны быть изготовлены по ин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дивидуальным параметрам получателя</w:t>
            </w:r>
            <w:r w:rsidRPr="00D668A6">
              <w:rPr>
                <w:rFonts w:ascii="Times New Roman" w:hAnsi="Times New Roman"/>
                <w:sz w:val="28"/>
                <w:szCs w:val="28"/>
              </w:rPr>
              <w:t xml:space="preserve">.  Приемные гильзы должны быть изготовлены из кожи или термопласта. Допускается применение смягчающего слоя из вспененного материала. Шины должны быть стальные или из легких сплавов </w:t>
            </w:r>
            <w:proofErr w:type="spellStart"/>
            <w:r w:rsidRPr="00D668A6">
              <w:rPr>
                <w:rFonts w:ascii="Times New Roman" w:hAnsi="Times New Roman"/>
                <w:sz w:val="28"/>
                <w:szCs w:val="28"/>
              </w:rPr>
              <w:t>беззамковые</w:t>
            </w:r>
            <w:proofErr w:type="spellEnd"/>
            <w:r w:rsidRPr="00D668A6">
              <w:rPr>
                <w:rFonts w:ascii="Times New Roman" w:hAnsi="Times New Roman"/>
                <w:sz w:val="28"/>
                <w:szCs w:val="28"/>
              </w:rPr>
              <w:t xml:space="preserve"> в коленном </w:t>
            </w:r>
            <w:r w:rsidRPr="00D668A6">
              <w:rPr>
                <w:rFonts w:ascii="Times New Roman" w:hAnsi="Times New Roman"/>
                <w:sz w:val="28"/>
                <w:szCs w:val="28"/>
              </w:rPr>
              <w:lastRenderedPageBreak/>
              <w:t>шарнире или замковые в коленном шарнире обеспечивающие фиксацию узлов ортопедического аппарата в положении полного или частичного разгибания и в положении сгибания при необходимости. Наличие аппаратной стельки.  Крепление индивидуальное. Функциональные узлы ортопедического аппарата должны иметь конструктивно - технологическую завершенность.  Назначение – постоянное, лечебно-профилактическое.</w:t>
            </w:r>
          </w:p>
        </w:tc>
        <w:tc>
          <w:tcPr>
            <w:tcW w:w="708" w:type="dxa"/>
            <w:vAlign w:val="center"/>
          </w:tcPr>
          <w:p w:rsidR="00FE3ECB" w:rsidRPr="00D668A6" w:rsidRDefault="00FE3ECB" w:rsidP="004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ECB" w:rsidRPr="00D668A6" w:rsidTr="00FE3ECB">
        <w:tc>
          <w:tcPr>
            <w:tcW w:w="597" w:type="dxa"/>
          </w:tcPr>
          <w:p w:rsidR="00FE3ECB" w:rsidRPr="00D668A6" w:rsidRDefault="00FE3ECB" w:rsidP="0009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E3ECB" w:rsidRPr="00D668A6" w:rsidRDefault="00FE3ECB" w:rsidP="0009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нижние конечности и туловище</w:t>
            </w:r>
          </w:p>
          <w:p w:rsidR="00FE3ECB" w:rsidRPr="00D668A6" w:rsidRDefault="00FE3ECB" w:rsidP="0009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3ECB" w:rsidRPr="00D668A6" w:rsidRDefault="00FE3ECB" w:rsidP="00097EBC">
            <w:pPr>
              <w:pStyle w:val="a9"/>
              <w:ind w:left="-110" w:right="-108"/>
              <w:rPr>
                <w:rFonts w:ascii="Times New Roman" w:hAnsi="Times New Roman"/>
                <w:sz w:val="28"/>
                <w:szCs w:val="28"/>
              </w:rPr>
            </w:pP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>Аппарат на нижние конечности и туловище - это устройство, одеваемое на сегменты нижней конечности в целях восстановления двигательных функций. Элементы ортопедического аппарата должны быть изготовлены по ин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дивидуальным параметрам получателя</w:t>
            </w: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Аппарат д</w:t>
            </w: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олжен состоять из: - </w:t>
            </w:r>
            <w:proofErr w:type="spellStart"/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>полукорсета</w:t>
            </w:r>
            <w:proofErr w:type="spellEnd"/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гильз на бедро, голень и башмачка. </w:t>
            </w:r>
            <w:r w:rsidRPr="00D668A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Приёмные гильзы индивидуальные, изготовленные по слепку, </w:t>
            </w: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>должны быть изготовлены из термопласта или слоистого пластика. Допускается применение смягчающего слоя из вспененного термопласта. Шины должны быть стальные или из легких сплавов с движением в коленном, голеностопном и тазобедренном шарнирах, с замком или без замка в коленном и тазобедренных шарнирах, с регулировкой амплитуды движения в голеностопном шарнире. Крепление индивидуальное. Функциональные узлы ортопедического аппарата должны иметь конструктивно - технологическую завершенность. Назначение – постоянное, лечебно-профилактическое.</w:t>
            </w:r>
          </w:p>
        </w:tc>
        <w:tc>
          <w:tcPr>
            <w:tcW w:w="708" w:type="dxa"/>
            <w:vAlign w:val="center"/>
          </w:tcPr>
          <w:p w:rsidR="00FE3ECB" w:rsidRPr="00D668A6" w:rsidRDefault="00FE3ECB" w:rsidP="0009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3ECB" w:rsidRPr="00D668A6" w:rsidTr="00FE3ECB">
        <w:tc>
          <w:tcPr>
            <w:tcW w:w="597" w:type="dxa"/>
          </w:tcPr>
          <w:p w:rsidR="00FE3ECB" w:rsidRPr="00D668A6" w:rsidRDefault="00FE3ECB" w:rsidP="0008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E3ECB" w:rsidRPr="00082939" w:rsidRDefault="00FE3ECB" w:rsidP="0008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39">
              <w:rPr>
                <w:rFonts w:ascii="Times New Roman" w:hAnsi="Times New Roman" w:cs="Times New Roman"/>
                <w:sz w:val="28"/>
                <w:szCs w:val="28"/>
              </w:rPr>
              <w:t>Аппарат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FE3ECB" w:rsidRPr="00082939" w:rsidRDefault="00FE3ECB" w:rsidP="000829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39">
              <w:rPr>
                <w:rFonts w:ascii="Times New Roman" w:hAnsi="Times New Roman" w:cs="Times New Roman"/>
                <w:sz w:val="28"/>
                <w:szCs w:val="28"/>
              </w:rPr>
              <w:t>Элементы ортопедического аппарата должны быть изготовлены по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дивидуальным параметрам инвалида</w:t>
            </w:r>
            <w:r w:rsidRPr="00082939">
              <w:rPr>
                <w:rFonts w:ascii="Times New Roman" w:hAnsi="Times New Roman" w:cs="Times New Roman"/>
                <w:sz w:val="28"/>
                <w:szCs w:val="28"/>
              </w:rPr>
              <w:t xml:space="preserve">. Гильза голени и башмачок должны быть изготовлены с движением в голеностопном шарнире, с металлическими шинами и аппаратной стелькой, крепление индивидуальное. Функциональные узлы ортопедического аппарата имеют конструктивно-технологическую завершенность. </w:t>
            </w:r>
          </w:p>
          <w:p w:rsidR="00FE3ECB" w:rsidRPr="00082939" w:rsidRDefault="00FE3ECB" w:rsidP="000829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3ECB" w:rsidRDefault="00FE3ECB" w:rsidP="0008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ECB" w:rsidRPr="00D668A6" w:rsidTr="00FE3ECB">
        <w:tc>
          <w:tcPr>
            <w:tcW w:w="597" w:type="dxa"/>
          </w:tcPr>
          <w:p w:rsidR="00FE3ECB" w:rsidRDefault="00FE3ECB" w:rsidP="00CF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E3ECB" w:rsidRPr="00082939" w:rsidRDefault="00FE3ECB" w:rsidP="00CF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Аппарат на всю руку</w:t>
            </w:r>
          </w:p>
        </w:tc>
        <w:tc>
          <w:tcPr>
            <w:tcW w:w="6804" w:type="dxa"/>
            <w:shd w:val="clear" w:color="auto" w:fill="auto"/>
          </w:tcPr>
          <w:p w:rsidR="00FE3ECB" w:rsidRPr="001E4B8D" w:rsidRDefault="00FE3ECB" w:rsidP="00CF75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Изготавливается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методом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вакуумной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формовки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индивидуальному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гипсовому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слепку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термопластичных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материалов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представляет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собой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конструкцию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состоящую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двух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разъемных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гильз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Обеспечивает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жесткую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фиксацию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плечевого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сустава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Гильза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плеча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предплечья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соединены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стальными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шарнирами</w:t>
            </w:r>
            <w:proofErr w:type="spellEnd"/>
            <w:proofErr w:type="gram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 </w:t>
            </w:r>
            <w:proofErr w:type="spellStart"/>
            <w:proofErr w:type="gram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Крепление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аппарата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осуществляется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помощью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застежек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контактной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ленты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Применяется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иммобилизации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ранней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активизации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после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оперативных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вмешательств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локтевом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плечевом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суставах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 с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целью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профилактики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деформации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;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воспалительных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дегенеративных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заболеваниях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а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также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парезе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мышц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предплечья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ложных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суставах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предплечья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 </w:t>
            </w:r>
            <w:proofErr w:type="spellStart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плеча</w:t>
            </w:r>
            <w:proofErr w:type="spellEnd"/>
            <w:r w:rsidRPr="001E4B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08" w:type="dxa"/>
            <w:vAlign w:val="center"/>
          </w:tcPr>
          <w:p w:rsidR="00FE3ECB" w:rsidRDefault="00FE3ECB" w:rsidP="00CF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D564EF" w:rsidRPr="00CF75F6" w:rsidRDefault="00D564EF" w:rsidP="00CF75F6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6F09">
        <w:rPr>
          <w:rFonts w:ascii="Times New Roman" w:eastAsia="Arial" w:hAnsi="Times New Roman" w:cs="Times New Roman"/>
          <w:sz w:val="28"/>
          <w:szCs w:val="28"/>
        </w:rPr>
        <w:t xml:space="preserve">Работы по обеспечению инвалидов </w:t>
      </w:r>
      <w:r w:rsidR="00CF75F6">
        <w:rPr>
          <w:rFonts w:ascii="Times New Roman" w:eastAsia="Arial" w:hAnsi="Times New Roman" w:cs="Times New Roman"/>
          <w:sz w:val="28"/>
          <w:szCs w:val="28"/>
        </w:rPr>
        <w:t>аппаратами</w:t>
      </w:r>
      <w:r w:rsidRPr="003B6F09">
        <w:rPr>
          <w:rFonts w:ascii="Times New Roman" w:eastAsia="Arial" w:hAnsi="Times New Roman" w:cs="Times New Roman"/>
          <w:sz w:val="28"/>
          <w:szCs w:val="28"/>
        </w:rPr>
        <w:t xml:space="preserve"> (да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 xml:space="preserve">лее - изделие) предусматривает индивидуальное </w:t>
      </w:r>
      <w:r w:rsidR="00CF75F6" w:rsidRPr="003B6F09">
        <w:rPr>
          <w:rFonts w:ascii="Times New Roman" w:eastAsia="Arial" w:hAnsi="Times New Roman" w:cs="Times New Roman"/>
          <w:sz w:val="28"/>
          <w:szCs w:val="28"/>
        </w:rPr>
        <w:t>изготов</w:t>
      </w:r>
      <w:r w:rsidR="00CF75F6" w:rsidRPr="003B6F09">
        <w:rPr>
          <w:rFonts w:ascii="Times New Roman" w:eastAsia="Arial" w:hAnsi="Times New Roman" w:cs="Times New Roman"/>
          <w:sz w:val="28"/>
          <w:szCs w:val="28"/>
        </w:rPr>
        <w:softHyphen/>
        <w:t xml:space="preserve">ление, </w:t>
      </w:r>
      <w:r w:rsidR="00CF75F6">
        <w:rPr>
          <w:rFonts w:ascii="Times New Roman" w:eastAsia="Arial" w:hAnsi="Times New Roman" w:cs="Times New Roman"/>
          <w:sz w:val="28"/>
          <w:szCs w:val="28"/>
        </w:rPr>
        <w:t>обуче</w:t>
      </w:r>
      <w:r w:rsidR="00CF75F6">
        <w:rPr>
          <w:rFonts w:ascii="Times New Roman" w:eastAsia="Arial" w:hAnsi="Times New Roman" w:cs="Times New Roman"/>
          <w:sz w:val="28"/>
          <w:szCs w:val="28"/>
        </w:rPr>
        <w:softHyphen/>
        <w:t>ние</w:t>
      </w:r>
      <w:r w:rsidRPr="003B6F09">
        <w:rPr>
          <w:rFonts w:ascii="Times New Roman" w:eastAsia="Arial" w:hAnsi="Times New Roman" w:cs="Times New Roman"/>
          <w:sz w:val="28"/>
          <w:szCs w:val="28"/>
        </w:rPr>
        <w:t xml:space="preserve"> поль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>зованию и их выдачу.</w:t>
      </w:r>
    </w:p>
    <w:p w:rsidR="00097EBC" w:rsidRPr="00CF75F6" w:rsidRDefault="00CF75F6" w:rsidP="00CF75F6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Аппараты</w:t>
      </w:r>
      <w:r w:rsidR="003B6F09" w:rsidRPr="003B6F09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Национального стандарта Рос</w:t>
      </w:r>
      <w:r w:rsidR="003B6F09" w:rsidRPr="003B6F09">
        <w:rPr>
          <w:rFonts w:ascii="Times New Roman" w:hAnsi="Times New Roman" w:cs="Times New Roman"/>
          <w:sz w:val="28"/>
          <w:szCs w:val="28"/>
        </w:rPr>
        <w:softHyphen/>
        <w:t>сийской Федера</w:t>
      </w:r>
      <w:r w:rsidR="003B6F09" w:rsidRPr="003B6F09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r w:rsidR="00D564EF" w:rsidRPr="003B6F09">
        <w:rPr>
          <w:rFonts w:ascii="Times New Roman" w:eastAsia="Arial" w:hAnsi="Times New Roman" w:cs="Times New Roman"/>
          <w:sz w:val="28"/>
          <w:szCs w:val="28"/>
        </w:rPr>
        <w:t>ГОСТ Р 51632-2014 «</w:t>
      </w:r>
      <w:r w:rsidR="00D564EF" w:rsidRPr="003B6F09">
        <w:rPr>
          <w:rFonts w:ascii="Times New Roman" w:hAnsi="Times New Roman" w:cs="Times New Roman"/>
          <w:sz w:val="28"/>
          <w:szCs w:val="28"/>
        </w:rPr>
        <w:t>"Технические средства реабилитации людей с ограничениями жизнедеятельности. Общие технические требования и методы испытаний"</w:t>
      </w:r>
      <w:r w:rsidR="00D564EF" w:rsidRPr="003B6F09">
        <w:rPr>
          <w:rFonts w:ascii="Times New Roman" w:eastAsia="Arial" w:hAnsi="Times New Roman" w:cs="Times New Roman"/>
          <w:sz w:val="28"/>
          <w:szCs w:val="28"/>
        </w:rPr>
        <w:t>, ГОСТ Р 52770-2016 «</w:t>
      </w:r>
      <w:r w:rsidR="00D564EF" w:rsidRPr="003B6F09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Изделия медицинские. Требования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09" w:rsidRPr="00152891" w:rsidRDefault="003B6F09" w:rsidP="003B6F09">
      <w:pPr>
        <w:widowControl w:val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Требования к результатам работ</w:t>
      </w:r>
    </w:p>
    <w:p w:rsidR="003B6F09" w:rsidRPr="00152891" w:rsidRDefault="003B6F09" w:rsidP="00CF75F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 xml:space="preserve">Работы по обеспечению инвалидов </w:t>
      </w:r>
      <w:r w:rsidR="00CF75F6">
        <w:rPr>
          <w:rFonts w:ascii="Times New Roman" w:hAnsi="Times New Roman" w:cs="Times New Roman"/>
          <w:sz w:val="28"/>
          <w:szCs w:val="28"/>
        </w:rPr>
        <w:t>аппаратами</w:t>
      </w:r>
      <w:r w:rsidRPr="00152891">
        <w:rPr>
          <w:rFonts w:ascii="Times New Roman" w:hAnsi="Times New Roman" w:cs="Times New Roman"/>
          <w:sz w:val="28"/>
          <w:szCs w:val="28"/>
        </w:rPr>
        <w:t xml:space="preserve">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</w:t>
      </w:r>
      <w:r>
        <w:rPr>
          <w:rFonts w:ascii="Times New Roman" w:hAnsi="Times New Roman" w:cs="Times New Roman"/>
          <w:sz w:val="28"/>
          <w:szCs w:val="28"/>
        </w:rPr>
        <w:t xml:space="preserve">аппаратами </w:t>
      </w:r>
      <w:r w:rsidRPr="00152891">
        <w:rPr>
          <w:rFonts w:ascii="Times New Roman" w:hAnsi="Times New Roman" w:cs="Times New Roman"/>
          <w:sz w:val="28"/>
          <w:szCs w:val="28"/>
        </w:rPr>
        <w:t>должны быть выполнены с надлежащим качеством и в установленные сроки.</w:t>
      </w:r>
    </w:p>
    <w:p w:rsidR="00CF75F6" w:rsidRPr="00152891" w:rsidRDefault="003B6F09" w:rsidP="00CF75F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Гарантийный </w:t>
      </w:r>
      <w:r w:rsidR="006575EC" w:rsidRPr="0015289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срок </w:t>
      </w:r>
      <w:r w:rsidR="00CF75F6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на изделие</w:t>
      </w:r>
      <w:r w:rsidRPr="00152891">
        <w:rPr>
          <w:rFonts w:ascii="Times New Roman" w:hAnsi="Times New Roman" w:cs="Times New Roman"/>
          <w:sz w:val="28"/>
          <w:szCs w:val="28"/>
        </w:rPr>
        <w:t xml:space="preserve"> </w:t>
      </w:r>
      <w:r w:rsidR="00CF75F6"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устанавливается с даты подписания Акта о приемке</w:t>
      </w:r>
      <w:r w:rsidR="00CF75F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-передачи</w:t>
      </w:r>
      <w:r w:rsidR="00CF75F6"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CF75F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изделия</w:t>
      </w:r>
      <w:r w:rsidR="00CF75F6"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Получателем и должен составлять не менее 6 (шести) месяцев.</w:t>
      </w:r>
    </w:p>
    <w:p w:rsidR="00CF75F6" w:rsidRPr="00152891" w:rsidRDefault="00CF75F6" w:rsidP="00CF75F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</w:t>
      </w:r>
      <w:r>
        <w:rPr>
          <w:rFonts w:ascii="Times New Roman" w:hAnsi="Times New Roman" w:cs="Times New Roman"/>
          <w:sz w:val="28"/>
          <w:szCs w:val="28"/>
        </w:rPr>
        <w:t>я инвалида не должен превышать 1</w:t>
      </w:r>
      <w:r w:rsidRPr="0015289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52891">
        <w:rPr>
          <w:rFonts w:ascii="Times New Roman" w:hAnsi="Times New Roman" w:cs="Times New Roman"/>
          <w:sz w:val="28"/>
          <w:szCs w:val="28"/>
        </w:rPr>
        <w:t>дней.</w:t>
      </w:r>
    </w:p>
    <w:p w:rsidR="00CF75F6" w:rsidRPr="00152891" w:rsidRDefault="00CF75F6" w:rsidP="00CF75F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CF75F6" w:rsidRPr="00152891" w:rsidRDefault="00CF75F6" w:rsidP="00CF75F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 приемке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-передачи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изделия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>адресов</w:t>
      </w:r>
      <w:r w:rsidRPr="00152891">
        <w:rPr>
          <w:rFonts w:ascii="Times New Roman" w:hAnsi="Times New Roman" w:cs="Times New Roman"/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CF75F6" w:rsidRDefault="00CF75F6" w:rsidP="00CF75F6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>
        <w:rPr>
          <w:rFonts w:ascii="Times New Roman" w:hAnsi="Times New Roman" w:cs="Times New Roman"/>
          <w:sz w:val="28"/>
          <w:szCs w:val="28"/>
        </w:rPr>
        <w:t xml:space="preserve">техническим средством реабилитации </w:t>
      </w:r>
      <w:r w:rsidRPr="00152891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07.02.1992 г. № 2300-1 «О защите прав потребителей».</w:t>
      </w:r>
    </w:p>
    <w:p w:rsidR="003B6F09" w:rsidRPr="00152891" w:rsidRDefault="003B6F09" w:rsidP="00CF75F6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152891">
        <w:rPr>
          <w:rFonts w:ascii="Times New Roman" w:hAnsi="Times New Roman" w:cs="Times New Roman"/>
          <w:sz w:val="28"/>
          <w:szCs w:val="28"/>
        </w:rPr>
        <w:t xml:space="preserve"> должен гарантировать, что </w:t>
      </w:r>
      <w:r>
        <w:rPr>
          <w:rFonts w:ascii="Times New Roman" w:hAnsi="Times New Roman" w:cs="Times New Roman"/>
          <w:sz w:val="28"/>
          <w:szCs w:val="28"/>
        </w:rPr>
        <w:t>издели</w:t>
      </w:r>
      <w:r w:rsidR="00CF75F6">
        <w:rPr>
          <w:rFonts w:ascii="Times New Roman" w:hAnsi="Times New Roman" w:cs="Times New Roman"/>
          <w:sz w:val="28"/>
          <w:szCs w:val="28"/>
        </w:rPr>
        <w:t>я</w:t>
      </w:r>
      <w:r w:rsidRPr="00152891">
        <w:rPr>
          <w:rFonts w:ascii="Times New Roman" w:hAnsi="Times New Roman" w:cs="Times New Roman"/>
          <w:sz w:val="28"/>
          <w:szCs w:val="28"/>
        </w:rPr>
        <w:t>, поставляем</w:t>
      </w:r>
      <w:r w:rsidR="00CF75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75F6">
        <w:rPr>
          <w:rFonts w:ascii="Times New Roman" w:hAnsi="Times New Roman" w:cs="Times New Roman"/>
          <w:sz w:val="28"/>
          <w:szCs w:val="28"/>
        </w:rPr>
        <w:t xml:space="preserve"> в рамках Контракта, являю</w:t>
      </w:r>
      <w:r w:rsidRPr="00152891">
        <w:rPr>
          <w:rFonts w:ascii="Times New Roman" w:hAnsi="Times New Roman" w:cs="Times New Roman"/>
          <w:sz w:val="28"/>
          <w:szCs w:val="28"/>
        </w:rPr>
        <w:t>тся новым</w:t>
      </w:r>
      <w:r w:rsidR="00CF75F6">
        <w:rPr>
          <w:rFonts w:ascii="Times New Roman" w:hAnsi="Times New Roman" w:cs="Times New Roman"/>
          <w:sz w:val="28"/>
          <w:szCs w:val="28"/>
        </w:rPr>
        <w:t>и</w:t>
      </w:r>
      <w:r w:rsidRPr="00152891">
        <w:rPr>
          <w:rFonts w:ascii="Times New Roman" w:hAnsi="Times New Roman" w:cs="Times New Roman"/>
          <w:sz w:val="28"/>
          <w:szCs w:val="28"/>
        </w:rPr>
        <w:t xml:space="preserve">, и не будет иметь дефектов, связанных с разработкой, материалами или качеством изготовления, либо проявляющихся в результате </w:t>
      </w:r>
      <w:r w:rsidRPr="00152891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или упущения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152891">
        <w:rPr>
          <w:rFonts w:ascii="Times New Roman" w:hAnsi="Times New Roman" w:cs="Times New Roman"/>
          <w:sz w:val="28"/>
          <w:szCs w:val="28"/>
        </w:rPr>
        <w:t xml:space="preserve"> при нормальном использовании в обычных условиях.</w:t>
      </w:r>
    </w:p>
    <w:p w:rsidR="003B6F09" w:rsidRDefault="006575EC" w:rsidP="00CF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6575EC" w:rsidRPr="006575EC" w:rsidRDefault="006575EC" w:rsidP="00CF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F09" w:rsidRPr="00152891" w:rsidRDefault="003B6F09" w:rsidP="00CF75F6">
      <w:pPr>
        <w:keepNext/>
        <w:keepLines/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3B6F09" w:rsidRPr="00152891" w:rsidRDefault="003B6F09" w:rsidP="00CF75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3B6F09" w:rsidRPr="00152891" w:rsidRDefault="003B6F09" w:rsidP="00CF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Место выполнения работ.</w:t>
      </w:r>
      <w:r w:rsidRPr="00152891">
        <w:rPr>
          <w:rFonts w:ascii="Times New Roman" w:hAnsi="Times New Roman" w:cs="Times New Roman"/>
          <w:sz w:val="28"/>
          <w:szCs w:val="28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152891">
        <w:rPr>
          <w:rFonts w:ascii="Times New Roman" w:hAnsi="Times New Roman" w:cs="Times New Roman"/>
          <w:bCs/>
          <w:sz w:val="28"/>
          <w:szCs w:val="28"/>
        </w:rPr>
        <w:t>Доставка</w:t>
      </w:r>
      <w:r w:rsidRPr="00152891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 w:rsidR="006575EC">
        <w:rPr>
          <w:rFonts w:ascii="Times New Roman" w:hAnsi="Times New Roman" w:cs="Times New Roman"/>
          <w:sz w:val="28"/>
          <w:szCs w:val="28"/>
        </w:rPr>
        <w:t>г. Курске</w:t>
      </w:r>
      <w:r w:rsidRPr="00152891">
        <w:rPr>
          <w:rFonts w:ascii="Times New Roman" w:hAnsi="Times New Roman" w:cs="Times New Roman"/>
          <w:sz w:val="28"/>
          <w:szCs w:val="28"/>
        </w:rPr>
        <w:t>).</w:t>
      </w:r>
    </w:p>
    <w:p w:rsidR="003B6F09" w:rsidRPr="00152891" w:rsidRDefault="003B6F09" w:rsidP="00CF75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152891">
        <w:rPr>
          <w:rFonts w:ascii="Times New Roman" w:hAnsi="Times New Roman" w:cs="Times New Roman"/>
          <w:sz w:val="28"/>
          <w:szCs w:val="28"/>
        </w:rPr>
        <w:t xml:space="preserve"> с момента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по 01</w:t>
      </w:r>
      <w:r w:rsidRPr="00152891">
        <w:rPr>
          <w:rFonts w:ascii="Times New Roman" w:hAnsi="Times New Roman" w:cs="Times New Roman"/>
          <w:sz w:val="28"/>
          <w:szCs w:val="28"/>
        </w:rPr>
        <w:t xml:space="preserve"> </w:t>
      </w:r>
      <w:r w:rsidR="00CF75F6">
        <w:rPr>
          <w:rFonts w:ascii="Times New Roman" w:hAnsi="Times New Roman" w:cs="Times New Roman"/>
          <w:sz w:val="28"/>
          <w:szCs w:val="28"/>
        </w:rPr>
        <w:t>сентября</w:t>
      </w:r>
      <w:r w:rsidRPr="00152891">
        <w:rPr>
          <w:rFonts w:ascii="Times New Roman" w:hAnsi="Times New Roman" w:cs="Times New Roman"/>
          <w:sz w:val="28"/>
          <w:szCs w:val="28"/>
        </w:rPr>
        <w:t xml:space="preserve"> 201</w:t>
      </w:r>
      <w:r w:rsidR="00CF75F6">
        <w:rPr>
          <w:rFonts w:ascii="Times New Roman" w:hAnsi="Times New Roman" w:cs="Times New Roman"/>
          <w:sz w:val="28"/>
          <w:szCs w:val="28"/>
        </w:rPr>
        <w:t>9</w:t>
      </w:r>
      <w:r w:rsidRPr="00152891">
        <w:rPr>
          <w:rFonts w:ascii="Times New Roman" w:hAnsi="Times New Roman" w:cs="Times New Roman"/>
          <w:sz w:val="28"/>
          <w:szCs w:val="28"/>
        </w:rPr>
        <w:t xml:space="preserve"> года. Исполнитель должен выполнить ра</w:t>
      </w:r>
      <w:r w:rsidR="00045124">
        <w:rPr>
          <w:rFonts w:ascii="Times New Roman" w:hAnsi="Times New Roman" w:cs="Times New Roman"/>
          <w:sz w:val="28"/>
          <w:szCs w:val="28"/>
        </w:rPr>
        <w:t>боты в срок, не превышающий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2891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Получателя к Исполнителю. </w:t>
      </w:r>
      <w:bookmarkStart w:id="0" w:name="_GoBack"/>
      <w:bookmarkEnd w:id="0"/>
    </w:p>
    <w:sectPr w:rsidR="003B6F09" w:rsidRPr="00152891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5124"/>
    <w:rsid w:val="00046B1D"/>
    <w:rsid w:val="000541E7"/>
    <w:rsid w:val="000709F6"/>
    <w:rsid w:val="000811AF"/>
    <w:rsid w:val="00082939"/>
    <w:rsid w:val="00097EBC"/>
    <w:rsid w:val="000A5EC2"/>
    <w:rsid w:val="00137538"/>
    <w:rsid w:val="00141E59"/>
    <w:rsid w:val="001E4B8D"/>
    <w:rsid w:val="00205A55"/>
    <w:rsid w:val="0025096E"/>
    <w:rsid w:val="002D3052"/>
    <w:rsid w:val="002D34D0"/>
    <w:rsid w:val="0033084B"/>
    <w:rsid w:val="00333E23"/>
    <w:rsid w:val="003706B1"/>
    <w:rsid w:val="00393BFB"/>
    <w:rsid w:val="003A6B53"/>
    <w:rsid w:val="003B6F09"/>
    <w:rsid w:val="004229A7"/>
    <w:rsid w:val="00464228"/>
    <w:rsid w:val="00483501"/>
    <w:rsid w:val="004B2FA8"/>
    <w:rsid w:val="004D4F5B"/>
    <w:rsid w:val="004E71E2"/>
    <w:rsid w:val="005630F2"/>
    <w:rsid w:val="005A1843"/>
    <w:rsid w:val="005B4F61"/>
    <w:rsid w:val="005E1496"/>
    <w:rsid w:val="00617553"/>
    <w:rsid w:val="00630810"/>
    <w:rsid w:val="0063759D"/>
    <w:rsid w:val="00641D6D"/>
    <w:rsid w:val="006479CB"/>
    <w:rsid w:val="00654856"/>
    <w:rsid w:val="006575EC"/>
    <w:rsid w:val="00665948"/>
    <w:rsid w:val="00671512"/>
    <w:rsid w:val="0068346B"/>
    <w:rsid w:val="007311D4"/>
    <w:rsid w:val="007B7815"/>
    <w:rsid w:val="007D4972"/>
    <w:rsid w:val="008958B9"/>
    <w:rsid w:val="008D672F"/>
    <w:rsid w:val="00950B31"/>
    <w:rsid w:val="009564DB"/>
    <w:rsid w:val="009D113D"/>
    <w:rsid w:val="00A11C5C"/>
    <w:rsid w:val="00A270DB"/>
    <w:rsid w:val="00A51DC7"/>
    <w:rsid w:val="00A64B40"/>
    <w:rsid w:val="00A873F7"/>
    <w:rsid w:val="00AD231D"/>
    <w:rsid w:val="00AD479E"/>
    <w:rsid w:val="00AD6C85"/>
    <w:rsid w:val="00B3353F"/>
    <w:rsid w:val="00B547FA"/>
    <w:rsid w:val="00B65C14"/>
    <w:rsid w:val="00B71C01"/>
    <w:rsid w:val="00B96D69"/>
    <w:rsid w:val="00C44945"/>
    <w:rsid w:val="00CF75F6"/>
    <w:rsid w:val="00D22BA7"/>
    <w:rsid w:val="00D564EF"/>
    <w:rsid w:val="00D668A6"/>
    <w:rsid w:val="00D935A6"/>
    <w:rsid w:val="00DA54FE"/>
    <w:rsid w:val="00DD17C7"/>
    <w:rsid w:val="00E32F4A"/>
    <w:rsid w:val="00F97D77"/>
    <w:rsid w:val="00FE3ECB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uiPriority w:val="9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A873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A87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a"/>
    <w:rsid w:val="00D564EF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customStyle="1" w:styleId="aa">
    <w:name w:val="Знак"/>
    <w:basedOn w:val="a"/>
    <w:rsid w:val="00D668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CF75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E0EA-8B4F-4EBE-BD86-F5B8036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19</cp:revision>
  <cp:lastPrinted>2017-12-09T09:25:00Z</cp:lastPrinted>
  <dcterms:created xsi:type="dcterms:W3CDTF">2017-12-08T05:42:00Z</dcterms:created>
  <dcterms:modified xsi:type="dcterms:W3CDTF">2018-11-30T14:32:00Z</dcterms:modified>
</cp:coreProperties>
</file>