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74"/>
        <w:gridCol w:w="2897"/>
        <w:gridCol w:w="1643"/>
        <w:gridCol w:w="1760"/>
        <w:gridCol w:w="589"/>
        <w:gridCol w:w="622"/>
      </w:tblGrid>
      <w:tr w:rsidR="00113438" w:rsidRPr="008C6089" w:rsidTr="00113438">
        <w:trPr>
          <w:trHeight w:val="197"/>
        </w:trPr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bookmarkStart w:id="0" w:name="_GoBack"/>
            <w:bookmarkEnd w:id="0"/>
            <w:r w:rsidRPr="008C6089">
              <w:t>№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(без указания товарного знака)</w:t>
            </w:r>
          </w:p>
        </w:tc>
        <w:tc>
          <w:tcPr>
            <w:tcW w:w="0" w:type="auto"/>
            <w:gridSpan w:val="3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Описание (характеристики) объекта закупки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Кол-во</w:t>
            </w:r>
          </w:p>
        </w:tc>
      </w:tr>
      <w:tr w:rsidR="00113438" w:rsidRPr="008C6089" w:rsidTr="00113438">
        <w:trPr>
          <w:cantSplit/>
          <w:trHeight w:val="2641"/>
        </w:trPr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показателя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Значения показателей, которые не могут изменяться</w:t>
            </w:r>
          </w:p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 w:rsidRPr="008C608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</w:pPr>
            <w:r>
              <w:t>Протез бедра модульный с внешним источником энергии</w:t>
            </w:r>
          </w:p>
        </w:tc>
        <w:tc>
          <w:tcPr>
            <w:tcW w:w="0" w:type="auto"/>
          </w:tcPr>
          <w:p w:rsidR="00113438" w:rsidRPr="008C6089" w:rsidRDefault="00113438" w:rsidP="002738F9">
            <w:pPr>
              <w:suppressAutoHyphens w:val="0"/>
              <w:spacing w:line="240" w:lineRule="atLeast"/>
              <w:jc w:val="both"/>
            </w:pPr>
            <w:r>
              <w:t xml:space="preserve">Приемная гильза индивидуального изготовления по слепку с культи инвалида.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</w:t>
            </w:r>
            <w:r w:rsidR="002738F9">
              <w:t>Крепление протеза полимерным чехлом с использование замка</w:t>
            </w:r>
            <w:r>
              <w:t xml:space="preserve">. Регулировочно-соединительные устройства соответствуют весовым и нагрузочным параметрам пациента. </w:t>
            </w:r>
            <w:r w:rsidR="002738F9">
              <w:t>Коленный шарнир с электронной системой управления, обеспечивающей безопасную физиологическую ходьбу по любой поверхности</w:t>
            </w:r>
            <w:r>
              <w:t xml:space="preserve">. </w:t>
            </w:r>
            <w:proofErr w:type="spellStart"/>
            <w:r w:rsidR="002738F9" w:rsidRPr="002738F9">
              <w:t>Углепластиковая</w:t>
            </w:r>
            <w:proofErr w:type="spellEnd"/>
            <w:r w:rsidR="002738F9" w:rsidRPr="002738F9">
              <w:t xml:space="preserve"> </w:t>
            </w:r>
            <w:r w:rsidRPr="002738F9">
              <w:t xml:space="preserve"> </w:t>
            </w:r>
            <w:r w:rsidR="002738F9" w:rsidRPr="002738F9">
              <w:t>стопа для пациентов с высоким уровнем двигательной активности.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7C0DF3" w:rsidP="009D3D6D">
            <w:pPr>
              <w:suppressAutoHyphens w:val="0"/>
              <w:spacing w:line="240" w:lineRule="atLeast"/>
              <w:jc w:val="center"/>
            </w:pPr>
            <w:r>
              <w:t>2</w:t>
            </w: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113438" w:rsidRPr="008C6089" w:rsidRDefault="00113438" w:rsidP="007C0DF3">
            <w:pPr>
              <w:suppressAutoHyphens w:val="0"/>
              <w:spacing w:line="240" w:lineRule="atLeast"/>
            </w:pPr>
            <w:r>
              <w:t xml:space="preserve">Протез бедра </w:t>
            </w:r>
            <w:r w:rsidR="007C0DF3">
              <w:t>модульный</w:t>
            </w:r>
          </w:p>
        </w:tc>
        <w:tc>
          <w:tcPr>
            <w:tcW w:w="0" w:type="auto"/>
          </w:tcPr>
          <w:p w:rsidR="00113438" w:rsidRPr="008C6089" w:rsidRDefault="00113438" w:rsidP="002738F9">
            <w:pPr>
              <w:suppressAutoHyphens w:val="0"/>
              <w:spacing w:line="240" w:lineRule="atLeast"/>
              <w:jc w:val="both"/>
            </w:pPr>
            <w:r>
              <w:t xml:space="preserve"> </w:t>
            </w:r>
            <w:r w:rsidR="002738F9" w:rsidRPr="00C420BE">
              <w:rPr>
                <w:sz w:val="22"/>
                <w:szCs w:val="22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="002738F9" w:rsidRPr="00C420BE">
              <w:rPr>
                <w:sz w:val="22"/>
                <w:szCs w:val="22"/>
              </w:rPr>
              <w:t>перлоновые</w:t>
            </w:r>
            <w:proofErr w:type="spellEnd"/>
            <w:r w:rsidR="002738F9" w:rsidRPr="00C420BE">
              <w:rPr>
                <w:sz w:val="22"/>
                <w:szCs w:val="22"/>
              </w:rPr>
              <w:t xml:space="preserve">.  Приёмная гильза индивидуальная (две пробные гильзы).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полимерные, крепление с использованием замка, </w:t>
            </w:r>
            <w:r w:rsidR="002738F9" w:rsidRPr="00C420BE">
              <w:rPr>
                <w:sz w:val="22"/>
                <w:szCs w:val="22"/>
              </w:rPr>
              <w:lastRenderedPageBreak/>
              <w:t xml:space="preserve">вакуумной мембраны c выпускным клапаном.  Регулировочно-соединительные устройства  соответствуют весу инвалида. Коленный шарнир полицентрический с </w:t>
            </w:r>
            <w:proofErr w:type="spellStart"/>
            <w:r w:rsidR="002738F9" w:rsidRPr="00C420BE">
              <w:rPr>
                <w:sz w:val="22"/>
                <w:szCs w:val="22"/>
              </w:rPr>
              <w:t>трехклапанной</w:t>
            </w:r>
            <w:proofErr w:type="spellEnd"/>
            <w:r w:rsidR="002738F9" w:rsidRPr="00C420BE">
              <w:rPr>
                <w:sz w:val="22"/>
                <w:szCs w:val="22"/>
              </w:rPr>
              <w:t xml:space="preserve"> гидравлической системой и геометрическим замыканием со встроенной функцией вращения и смещения, регулируемое подгибание в фазе опоры, регулируемое </w:t>
            </w:r>
            <w:proofErr w:type="spellStart"/>
            <w:r w:rsidR="002738F9" w:rsidRPr="00C420BE">
              <w:rPr>
                <w:sz w:val="22"/>
                <w:szCs w:val="22"/>
              </w:rPr>
              <w:t>голенооткидное</w:t>
            </w:r>
            <w:proofErr w:type="spellEnd"/>
            <w:r w:rsidR="002738F9" w:rsidRPr="00C420BE">
              <w:rPr>
                <w:sz w:val="22"/>
                <w:szCs w:val="22"/>
              </w:rPr>
              <w:t xml:space="preserve"> устройство.  Коленный шарнир полицентрический с гидравлическим управлением фазой переноса и опорой за счет многоосной кинематики. </w:t>
            </w:r>
            <w:proofErr w:type="spellStart"/>
            <w:r w:rsidR="007C0DF3" w:rsidRPr="007C0DF3">
              <w:rPr>
                <w:sz w:val="22"/>
                <w:szCs w:val="22"/>
              </w:rPr>
              <w:t>Углепластиковая</w:t>
            </w:r>
            <w:proofErr w:type="spellEnd"/>
            <w:r w:rsidR="007C0DF3" w:rsidRPr="007C0DF3">
              <w:rPr>
                <w:sz w:val="22"/>
                <w:szCs w:val="22"/>
              </w:rPr>
              <w:t xml:space="preserve">  стопа для пациентов с высоким уровнем двигательной активности</w:t>
            </w:r>
            <w:r w:rsidR="002738F9" w:rsidRPr="00FA38E7">
              <w:rPr>
                <w:sz w:val="22"/>
                <w:szCs w:val="22"/>
              </w:rPr>
              <w:t>.</w:t>
            </w:r>
            <w:r w:rsidR="002738F9" w:rsidRPr="00C420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7C0DF3" w:rsidP="009D3D6D">
            <w:pPr>
              <w:suppressAutoHyphens w:val="0"/>
              <w:spacing w:line="240" w:lineRule="atLeast"/>
              <w:jc w:val="center"/>
            </w:pPr>
            <w:r>
              <w:t>1</w:t>
            </w:r>
          </w:p>
        </w:tc>
      </w:tr>
    </w:tbl>
    <w:p w:rsidR="002D26AD" w:rsidRDefault="002D26AD"/>
    <w:sectPr w:rsidR="002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5"/>
    <w:rsid w:val="00113438"/>
    <w:rsid w:val="002738F9"/>
    <w:rsid w:val="002D26AD"/>
    <w:rsid w:val="003D1705"/>
    <w:rsid w:val="007C0DF3"/>
    <w:rsid w:val="008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65CC-3B95-4269-970A-2301755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Микрун Александр Викторович</dc:creator>
  <cp:keywords/>
  <dc:description/>
  <cp:lastModifiedBy>Кайдаулова Эльвира Павловна</cp:lastModifiedBy>
  <cp:revision>2</cp:revision>
  <dcterms:created xsi:type="dcterms:W3CDTF">2018-11-22T06:23:00Z</dcterms:created>
  <dcterms:modified xsi:type="dcterms:W3CDTF">2018-11-22T06:23:00Z</dcterms:modified>
</cp:coreProperties>
</file>