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07" w:rsidRDefault="003B2707" w:rsidP="003B270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:rsidR="003B2707" w:rsidRDefault="003B2707" w:rsidP="003B2707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</w:p>
    <w:p w:rsidR="003B2707" w:rsidRDefault="003B2707" w:rsidP="003B2707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«Оказание услуг в 2019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лечения:</w:t>
      </w:r>
    </w:p>
    <w:p w:rsidR="003B2707" w:rsidRPr="006F48E6" w:rsidRDefault="003B2707" w:rsidP="003B2707">
      <w:pPr>
        <w:pStyle w:val="Standard"/>
        <w:snapToGrid w:val="0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заболевания по 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Классу </w:t>
      </w:r>
      <w:r>
        <w:rPr>
          <w:rFonts w:eastAsia="Times New Roman" w:cs="Arial"/>
          <w:b/>
          <w:bCs/>
          <w:spacing w:val="6"/>
          <w:sz w:val="22"/>
          <w:szCs w:val="22"/>
        </w:rPr>
        <w:t>VI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 МКБ-10 «Болезни нервной системы», по Классу XIII МКБ-10 «Болезни костно-мышечной системы и соединительной ткани».</w:t>
      </w:r>
    </w:p>
    <w:p w:rsidR="003B2707" w:rsidRPr="006F48E6" w:rsidRDefault="003B2707" w:rsidP="003B2707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val="ru-RU"/>
        </w:rPr>
      </w:pPr>
      <w:r>
        <w:rPr>
          <w:lang w:val="ru-RU"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B2707" w:rsidRDefault="003B2707" w:rsidP="003B2707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val="ru-RU" w:eastAsia="ru-RU"/>
        </w:rPr>
      </w:pPr>
    </w:p>
    <w:p w:rsidR="003B2707" w:rsidRDefault="003B2707" w:rsidP="003B2707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  <w:lang w:val="ru-RU"/>
        </w:rPr>
      </w:pPr>
      <w:r>
        <w:rPr>
          <w:b/>
          <w:lang w:val="ru-RU"/>
        </w:rPr>
        <w:t>1 Требования к качеству услуг</w:t>
      </w:r>
    </w:p>
    <w:p w:rsidR="003B2707" w:rsidRPr="006F48E6" w:rsidRDefault="003B2707" w:rsidP="003B2707">
      <w:pPr>
        <w:pStyle w:val="Standard"/>
        <w:shd w:val="clear" w:color="auto" w:fill="FFFFFF"/>
        <w:suppressAutoHyphens w:val="0"/>
        <w:spacing w:before="28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Наличие у </w:t>
      </w:r>
      <w:r>
        <w:rPr>
          <w:sz w:val="22"/>
          <w:szCs w:val="22"/>
          <w:lang w:val="ru-RU" w:eastAsia="ru-RU"/>
        </w:rPr>
        <w:t xml:space="preserve">санаторно-курортной </w:t>
      </w:r>
      <w:r>
        <w:rPr>
          <w:lang w:val="ru-RU" w:eastAsia="ru-RU"/>
        </w:rPr>
        <w:t>организации (учреждения) действующей лицензии на медицинскую деятельность по оказанию санаторно-курортного лечения, в том числе по профилю, заявленному в предмете государственного контракта.</w:t>
      </w:r>
    </w:p>
    <w:p w:rsidR="003B2707" w:rsidRDefault="003B2707" w:rsidP="003B2707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3B2707" w:rsidRPr="006F48E6" w:rsidRDefault="003B2707" w:rsidP="003B2707">
      <w:pPr>
        <w:pStyle w:val="Standard"/>
        <w:suppressAutoHyphens w:val="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 w:cs="Arial"/>
          <w:spacing w:val="-4"/>
          <w:lang w:val="ru-RU" w:eastAsia="ru-RU"/>
        </w:rPr>
        <w:t>от 22.11.2004</w:t>
      </w:r>
      <w:r>
        <w:rPr>
          <w:rFonts w:eastAsia="Arial" w:cs="Arial"/>
          <w:spacing w:val="-4"/>
          <w:lang w:val="ru-RU" w:eastAsia="ru-RU"/>
        </w:rPr>
        <w:t xml:space="preserve"> </w:t>
      </w:r>
      <w:r>
        <w:rPr>
          <w:rFonts w:eastAsia="Times New Roman" w:cs="Arial"/>
          <w:spacing w:val="-4"/>
          <w:lang w:val="ru-RU" w:eastAsia="ru-RU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3B2707" w:rsidRDefault="003B2707" w:rsidP="003B2707">
      <w:pPr>
        <w:pStyle w:val="24"/>
        <w:spacing w:line="100" w:lineRule="atLeast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B2707" w:rsidRDefault="003B2707" w:rsidP="003B2707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3B2707" w:rsidRDefault="003B2707" w:rsidP="003B2707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 Требования к техническим характеристикам услуг</w:t>
      </w:r>
    </w:p>
    <w:p w:rsidR="003B2707" w:rsidRDefault="003B2707" w:rsidP="003B2707">
      <w:pPr>
        <w:pStyle w:val="Standard"/>
        <w:suppressAutoHyphens w:val="0"/>
        <w:spacing w:before="280"/>
        <w:ind w:firstLine="539"/>
        <w:rPr>
          <w:lang w:val="ru-RU" w:eastAsia="ru-RU"/>
        </w:rPr>
      </w:pPr>
      <w:r>
        <w:rPr>
          <w:lang w:val="ru-RU" w:eastAsia="ru-RU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3B2707" w:rsidRPr="006F48E6" w:rsidRDefault="003B2707" w:rsidP="003B2707">
      <w:pPr>
        <w:pStyle w:val="Standard"/>
        <w:numPr>
          <w:ilvl w:val="1"/>
          <w:numId w:val="1"/>
        </w:numPr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3B2707" w:rsidRPr="006F48E6" w:rsidRDefault="003B2707" w:rsidP="003B2707">
      <w:pPr>
        <w:pStyle w:val="Standard"/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lastRenderedPageBreak/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3B2707" w:rsidRDefault="003B2707" w:rsidP="003B2707">
      <w:pPr>
        <w:pStyle w:val="Standard"/>
        <w:suppressAutoHyphens w:val="0"/>
        <w:spacing w:before="280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3B2707" w:rsidRPr="006F48E6" w:rsidRDefault="003B2707" w:rsidP="003B2707">
      <w:pPr>
        <w:pStyle w:val="Standard"/>
        <w:keepNext/>
        <w:suppressAutoHyphens w:val="0"/>
        <w:spacing w:before="280" w:line="198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2.5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3B2707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3B2707" w:rsidRPr="006F48E6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2.7 Здания и сооружения в санаторно-курортных организациях должны быть оборудованы :</w:t>
      </w:r>
    </w:p>
    <w:p w:rsidR="003B2707" w:rsidRPr="006F48E6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3B2707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холодного и горячего водоснабжения;</w:t>
      </w:r>
    </w:p>
    <w:p w:rsidR="003B2707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для обеспечения пациентов питьевой водой круглосуточно;</w:t>
      </w:r>
    </w:p>
    <w:p w:rsidR="003B2707" w:rsidRPr="006F48E6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3B2707" w:rsidRPr="006F48E6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3B2707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2.8 Дополнительно предоставляемые услуги:</w:t>
      </w:r>
    </w:p>
    <w:p w:rsidR="003B2707" w:rsidRDefault="003B2707" w:rsidP="003B2707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служба приема (круглосуточный прием);</w:t>
      </w:r>
    </w:p>
    <w:p w:rsidR="003B2707" w:rsidRPr="006F48E6" w:rsidRDefault="003B2707" w:rsidP="003B2707">
      <w:pPr>
        <w:pStyle w:val="Standard"/>
        <w:suppressAutoHyphens w:val="0"/>
        <w:spacing w:before="280"/>
        <w:ind w:firstLine="539"/>
        <w:rPr>
          <w:lang w:val="ru-RU"/>
        </w:rPr>
      </w:pPr>
      <w:r>
        <w:rPr>
          <w:lang w:val="ru-RU"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B2707" w:rsidRDefault="003B2707" w:rsidP="003B2707">
      <w:pPr>
        <w:pStyle w:val="Standard"/>
        <w:suppressAutoHyphens w:val="0"/>
        <w:spacing w:after="57"/>
        <w:rPr>
          <w:u w:val="single"/>
          <w:lang w:val="ru-RU" w:eastAsia="ru-RU"/>
        </w:rPr>
      </w:pPr>
    </w:p>
    <w:p w:rsidR="003B2707" w:rsidRDefault="003B2707" w:rsidP="003B2707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3B2707" w:rsidRPr="006F48E6" w:rsidRDefault="003B2707" w:rsidP="003B2707">
      <w:pPr>
        <w:pStyle w:val="Standard"/>
        <w:suppressAutoHyphens w:val="0"/>
        <w:spacing w:line="360" w:lineRule="auto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Место оказания услуг -  Территория Российской Федерации –Краснодарский край -  </w:t>
      </w:r>
      <w:r>
        <w:rPr>
          <w:bCs/>
          <w:spacing w:val="6"/>
          <w:lang w:val="ru-RU" w:eastAsia="ru-RU"/>
        </w:rPr>
        <w:t>Туапсинский район.</w:t>
      </w:r>
    </w:p>
    <w:p w:rsidR="003B2707" w:rsidRDefault="003B2707" w:rsidP="003B2707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Продолжительность медицинской реабилитации (заезда) – 21 койко - день.</w:t>
      </w:r>
    </w:p>
    <w:p w:rsidR="003B2707" w:rsidRPr="006F48E6" w:rsidRDefault="003B2707" w:rsidP="003B2707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Количество путевок для застрахованных лиц – 120 штук (в том числе 118 путевок для застрахованных лиц и 2 путевки для сопровождающих лиц).</w:t>
      </w:r>
    </w:p>
    <w:p w:rsidR="003B2707" w:rsidRDefault="003B2707" w:rsidP="003B2707">
      <w:pPr>
        <w:pStyle w:val="Standard"/>
        <w:snapToGrid w:val="0"/>
        <w:spacing w:line="100" w:lineRule="atLeast"/>
      </w:pPr>
      <w:r>
        <w:rPr>
          <w:rFonts w:cs="Arial"/>
          <w:spacing w:val="6"/>
          <w:sz w:val="26"/>
          <w:szCs w:val="26"/>
          <w:lang w:val="ru-RU"/>
        </w:rPr>
        <w:lastRenderedPageBreak/>
        <w:t xml:space="preserve">          Срок оказания услуг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:</w:t>
      </w:r>
    </w:p>
    <w:p w:rsidR="003B2707" w:rsidRDefault="003B2707" w:rsidP="003B2707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</w:p>
    <w:p w:rsidR="003B2707" w:rsidRDefault="003B2707" w:rsidP="003B2707">
      <w:pPr>
        <w:pStyle w:val="Standard"/>
        <w:numPr>
          <w:ilvl w:val="0"/>
          <w:numId w:val="2"/>
        </w:numPr>
        <w:snapToGrid w:val="0"/>
        <w:spacing w:line="100" w:lineRule="atLeast"/>
        <w:textAlignment w:val="auto"/>
        <w:rPr>
          <w:rFonts w:eastAsia="Times New Roman" w:cs="Arial"/>
          <w:spacing w:val="6"/>
          <w:sz w:val="26"/>
          <w:szCs w:val="26"/>
          <w:lang w:val="ru-RU"/>
        </w:rPr>
      </w:pPr>
      <w:r>
        <w:rPr>
          <w:rFonts w:eastAsia="Times New Roman" w:cs="Arial"/>
          <w:spacing w:val="6"/>
          <w:sz w:val="26"/>
          <w:szCs w:val="26"/>
          <w:lang w:val="ru-RU"/>
        </w:rPr>
        <w:t>1 квартал -315 койко дней (дата начала заезда не ранее 19.02.2019 г.), февраль – 105 койко-дней, март – 210 койко-дней.</w:t>
      </w:r>
    </w:p>
    <w:p w:rsidR="003B2707" w:rsidRPr="006F48E6" w:rsidRDefault="003B2707" w:rsidP="003B2707">
      <w:pPr>
        <w:pStyle w:val="Standard"/>
        <w:numPr>
          <w:ilvl w:val="0"/>
          <w:numId w:val="2"/>
        </w:numPr>
        <w:snapToGrid w:val="0"/>
        <w:spacing w:line="100" w:lineRule="atLeast"/>
        <w:textAlignment w:val="auto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2 квартал 2019 года - 840 койко-дней; апрель – 420 койко-дней, май – 210 койко-дней, июнь –210 койко-дней.</w:t>
      </w:r>
    </w:p>
    <w:p w:rsidR="003B2707" w:rsidRPr="006F48E6" w:rsidRDefault="003B2707" w:rsidP="003B2707">
      <w:pPr>
        <w:pStyle w:val="Standard"/>
        <w:numPr>
          <w:ilvl w:val="0"/>
          <w:numId w:val="2"/>
        </w:numPr>
        <w:snapToGrid w:val="0"/>
        <w:spacing w:line="100" w:lineRule="atLeast"/>
        <w:textAlignment w:val="auto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</w:t>
      </w:r>
      <w:r>
        <w:rPr>
          <w:rFonts w:cs="Arial"/>
          <w:spacing w:val="6"/>
          <w:sz w:val="26"/>
          <w:szCs w:val="26"/>
          <w:lang w:val="ru-RU"/>
        </w:rPr>
        <w:t xml:space="preserve">3 квартал 2019 года – 945 койко-дней </w:t>
      </w:r>
      <w:r>
        <w:rPr>
          <w:rFonts w:eastAsia="Times New Roman" w:cs="Arial"/>
          <w:spacing w:val="6"/>
          <w:sz w:val="26"/>
          <w:szCs w:val="26"/>
          <w:lang w:val="ru-RU"/>
        </w:rPr>
        <w:t>(в т.ч.903 койко-дня для застрахованных лиц и 42 койко-дня для сопровождающих лиц</w:t>
      </w:r>
      <w:r>
        <w:rPr>
          <w:rFonts w:cs="Arial"/>
          <w:spacing w:val="6"/>
          <w:sz w:val="26"/>
          <w:szCs w:val="26"/>
          <w:lang w:val="ru-RU"/>
        </w:rPr>
        <w:t>); июль - 420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койко-дней, август – 105 койко-дней (в том числе 84 койко-дня для застрахованных лиц и 21 койко-день для сопровождающего лица);сентябрь – 420 койко-дней (в том числе 399 койко-дней для застрахованных лиц и 21 койко-день для сопровождающего лица).</w:t>
      </w:r>
    </w:p>
    <w:p w:rsidR="003B2707" w:rsidRPr="006F48E6" w:rsidRDefault="003B2707" w:rsidP="003B2707">
      <w:pPr>
        <w:pStyle w:val="Standard"/>
        <w:numPr>
          <w:ilvl w:val="0"/>
          <w:numId w:val="2"/>
        </w:numPr>
        <w:snapToGrid w:val="0"/>
        <w:spacing w:line="100" w:lineRule="atLeast"/>
        <w:textAlignment w:val="auto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>4 квартал 2019 года - 420 койко-дней; (дата начала заезда не позднее 23.10.2019 г.).</w:t>
      </w:r>
    </w:p>
    <w:p w:rsidR="003B2707" w:rsidRDefault="003B2707" w:rsidP="003B2707">
      <w:pPr>
        <w:pStyle w:val="Standard"/>
        <w:snapToGrid w:val="0"/>
        <w:spacing w:line="100" w:lineRule="atLeast"/>
        <w:rPr>
          <w:lang w:val="ru-RU"/>
        </w:rPr>
      </w:pPr>
    </w:p>
    <w:p w:rsidR="003B2707" w:rsidRDefault="003B2707" w:rsidP="003B2707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</w:t>
      </w:r>
    </w:p>
    <w:p w:rsidR="003B2707" w:rsidRPr="003B2707" w:rsidRDefault="003B2707" w:rsidP="003B2707">
      <w:pPr>
        <w:pStyle w:val="Standard"/>
        <w:suppressAutoHyphens w:val="0"/>
        <w:spacing w:before="280" w:after="119"/>
        <w:ind w:left="510"/>
        <w:rPr>
          <w:lang w:val="ru-RU"/>
        </w:rPr>
      </w:pPr>
      <w:r>
        <w:rPr>
          <w:sz w:val="26"/>
          <w:szCs w:val="26"/>
          <w:lang w:val="ru-RU" w:eastAsia="ru-RU"/>
        </w:rPr>
        <w:t xml:space="preserve">Путевки предоставляются по адресу: 305029, г. Курск, ул. </w:t>
      </w:r>
      <w:r w:rsidRPr="003B2707">
        <w:rPr>
          <w:sz w:val="26"/>
          <w:szCs w:val="26"/>
          <w:lang w:val="ru-RU" w:eastAsia="ru-RU"/>
        </w:rPr>
        <w:t>Никитская 16.</w:t>
      </w:r>
    </w:p>
    <w:p w:rsidR="003B2707" w:rsidRPr="003B2707" w:rsidRDefault="003B2707" w:rsidP="003B2707">
      <w:pPr>
        <w:pStyle w:val="24"/>
        <w:spacing w:line="100" w:lineRule="atLeast"/>
        <w:ind w:firstLine="709"/>
        <w:jc w:val="center"/>
        <w:rPr>
          <w:b/>
          <w:bCs/>
          <w:lang w:val="ru-RU" w:eastAsia="ru-RU"/>
        </w:rPr>
      </w:pPr>
    </w:p>
    <w:p w:rsidR="003B2707" w:rsidRDefault="003B2707" w:rsidP="003B2707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3B2707" w:rsidRDefault="003B2707" w:rsidP="003B2707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3B2707" w:rsidRPr="006F48E6" w:rsidRDefault="003B2707" w:rsidP="003B2707">
      <w:pPr>
        <w:pStyle w:val="24"/>
        <w:keepNext/>
        <w:spacing w:after="0" w:line="100" w:lineRule="atLeast"/>
        <w:ind w:firstLine="709"/>
        <w:jc w:val="both"/>
        <w:rPr>
          <w:lang w:val="ru-RU"/>
        </w:rPr>
      </w:pPr>
      <w:r>
        <w:rPr>
          <w:i/>
          <w:lang w:val="ru-RU"/>
        </w:rPr>
        <w:t>Участник размещения заказа должен описать оказываемые услуги, их количественные и качественные характеристики в соответствии с требованиями конкурсной документации.</w:t>
      </w:r>
    </w:p>
    <w:p w:rsidR="00FF0847" w:rsidRDefault="00FF0847">
      <w:bookmarkStart w:id="0" w:name="_GoBack"/>
      <w:bookmarkEnd w:id="0"/>
    </w:p>
    <w:sectPr w:rsidR="00FF084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30E"/>
    <w:multiLevelType w:val="multilevel"/>
    <w:tmpl w:val="E3CCBB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853317C"/>
    <w:multiLevelType w:val="multilevel"/>
    <w:tmpl w:val="57FCE80E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07"/>
    <w:rsid w:val="003B2707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77B0-2323-4B2D-8C7E-8ECEF2D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2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3B270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24">
    <w:name w:val="Основной текст 24"/>
    <w:basedOn w:val="Standard"/>
    <w:rsid w:val="003B270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Сазонова Жанна Витальевна</cp:lastModifiedBy>
  <cp:revision>1</cp:revision>
  <dcterms:created xsi:type="dcterms:W3CDTF">2018-12-03T12:38:00Z</dcterms:created>
  <dcterms:modified xsi:type="dcterms:W3CDTF">2018-12-03T12:39:00Z</dcterms:modified>
</cp:coreProperties>
</file>