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DB" w:rsidRDefault="009B5EDB" w:rsidP="009B5EDB">
      <w:pPr>
        <w:pStyle w:val="Standard"/>
        <w:keepNext/>
        <w:keepLines/>
        <w:jc w:val="center"/>
        <w:rPr>
          <w:rFonts w:ascii="Times New Roman" w:hAnsi="Times New Roman"/>
          <w:b/>
          <w:color w:val="000000"/>
          <w:lang w:eastAsia="en-US" w:bidi="en-US"/>
        </w:rPr>
      </w:pPr>
      <w:r>
        <w:rPr>
          <w:rFonts w:ascii="Times New Roman" w:hAnsi="Times New Roman"/>
          <w:b/>
          <w:color w:val="000000"/>
          <w:lang w:eastAsia="en-US" w:bidi="en-US"/>
        </w:rPr>
        <w:t>Техническое задание</w:t>
      </w:r>
    </w:p>
    <w:p w:rsidR="00D70E56" w:rsidRDefault="00D70E56">
      <w:pPr>
        <w:pStyle w:val="Standard"/>
        <w:jc w:val="center"/>
        <w:rPr>
          <w:rFonts w:ascii="Times New Roman" w:hAnsi="Times New Roman" w:cs="Times New Roman"/>
          <w:sz w:val="21"/>
          <w:szCs w:val="21"/>
        </w:rPr>
      </w:pPr>
    </w:p>
    <w:p w:rsidR="00D70E56" w:rsidRDefault="00062278">
      <w:pPr>
        <w:pStyle w:val="Standard"/>
        <w:tabs>
          <w:tab w:val="left" w:pos="2590"/>
        </w:tabs>
        <w:ind w:firstLine="426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>1. Предмет заключения контракта</w:t>
      </w:r>
      <w:r>
        <w:rPr>
          <w:rFonts w:ascii="Times New Roman" w:hAnsi="Times New Roman" w:cs="Times New Roman"/>
          <w:color w:val="000000"/>
          <w:lang w:eastAsia="en-US" w:bidi="en-US"/>
        </w:rPr>
        <w:t>:</w:t>
      </w:r>
    </w:p>
    <w:p w:rsidR="00D70E56" w:rsidRDefault="00062278">
      <w:pPr>
        <w:pStyle w:val="Standard"/>
        <w:tabs>
          <w:tab w:val="left" w:pos="2590"/>
        </w:tabs>
        <w:ind w:firstLine="426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color w:val="000000"/>
          <w:lang w:eastAsia="en-US" w:bidi="en-US"/>
        </w:rPr>
        <w:t xml:space="preserve">Выполнение работ по обеспечению </w:t>
      </w:r>
      <w:r>
        <w:rPr>
          <w:rFonts w:ascii="Times New Roman" w:hAnsi="Times New Roman" w:cs="Times New Roman"/>
          <w:color w:val="000000"/>
          <w:lang w:eastAsia="en-US" w:bidi="en-US"/>
        </w:rPr>
        <w:t>инвалидов протезно-ортопедическими изделиями: протезами голени.</w:t>
      </w:r>
    </w:p>
    <w:p w:rsidR="00D70E56" w:rsidRDefault="00062278">
      <w:pPr>
        <w:pStyle w:val="Standard"/>
        <w:tabs>
          <w:tab w:val="left" w:pos="2590"/>
        </w:tabs>
        <w:ind w:firstLine="426"/>
        <w:jc w:val="both"/>
        <w:rPr>
          <w:rFonts w:ascii="Times New Roman" w:hAnsi="Times New Roman" w:cs="Times New Roman"/>
          <w:b/>
          <w:bCs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bCs/>
          <w:color w:val="000000"/>
          <w:lang w:eastAsia="en-US" w:bidi="en-US"/>
        </w:rPr>
        <w:t>2. Обязательные условия:</w:t>
      </w:r>
    </w:p>
    <w:p w:rsidR="00D70E56" w:rsidRDefault="00062278">
      <w:pPr>
        <w:pStyle w:val="Standard"/>
        <w:keepNext/>
        <w:keepLines/>
        <w:tabs>
          <w:tab w:val="left" w:pos="2590"/>
        </w:tabs>
        <w:ind w:firstLine="426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color w:val="000000"/>
          <w:lang w:eastAsia="en-US" w:bidi="en-US"/>
        </w:rPr>
        <w:t xml:space="preserve"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</w:t>
      </w:r>
      <w:r>
        <w:rPr>
          <w:rFonts w:ascii="Times New Roman" w:hAnsi="Times New Roman" w:cs="Times New Roman"/>
          <w:color w:val="000000"/>
          <w:lang w:eastAsia="en-US" w:bidi="en-US"/>
        </w:rPr>
        <w:t>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D70E56" w:rsidRDefault="00D70E56">
      <w:pPr>
        <w:pStyle w:val="Standard"/>
        <w:tabs>
          <w:tab w:val="left" w:pos="2590"/>
        </w:tabs>
        <w:jc w:val="right"/>
        <w:rPr>
          <w:rFonts w:ascii="Times New Roman" w:hAnsi="Times New Roman" w:cs="Times New Roman"/>
        </w:rPr>
      </w:pPr>
    </w:p>
    <w:p w:rsidR="00D70E56" w:rsidRDefault="00062278">
      <w:pPr>
        <w:pStyle w:val="Standard"/>
        <w:tabs>
          <w:tab w:val="left" w:pos="25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D70E56" w:rsidRDefault="00062278">
      <w:pPr>
        <w:pStyle w:val="Standard"/>
        <w:keepNext/>
        <w:keepLines/>
        <w:shd w:val="clear" w:color="auto" w:fill="FFFFFF"/>
        <w:tabs>
          <w:tab w:val="left" w:pos="2590"/>
        </w:tabs>
        <w:jc w:val="center"/>
        <w:rPr>
          <w:rFonts w:ascii="Times New Roman" w:hAnsi="Times New Roman" w:cs="Times New Roman"/>
          <w:b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color w:val="000000"/>
          <w:lang w:eastAsia="en-US" w:bidi="en-US"/>
        </w:rPr>
        <w:t>Треб</w:t>
      </w:r>
      <w:r>
        <w:rPr>
          <w:rFonts w:ascii="Times New Roman" w:hAnsi="Times New Roman" w:cs="Times New Roman"/>
          <w:b/>
          <w:color w:val="000000"/>
          <w:lang w:eastAsia="en-US" w:bidi="en-US"/>
        </w:rPr>
        <w:t>ования к количественным и качественным характеристикам</w:t>
      </w:r>
    </w:p>
    <w:p w:rsidR="00D70E56" w:rsidRDefault="00D70E56">
      <w:pPr>
        <w:pStyle w:val="Standard"/>
        <w:shd w:val="clear" w:color="auto" w:fill="FFFFFF"/>
        <w:tabs>
          <w:tab w:val="left" w:pos="259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7215"/>
        <w:gridCol w:w="1515"/>
      </w:tblGrid>
      <w:tr w:rsidR="00D70E56">
        <w:tblPrEx>
          <w:tblCellMar>
            <w:top w:w="0" w:type="dxa"/>
            <w:bottom w:w="0" w:type="dxa"/>
          </w:tblCellMar>
        </w:tblPrEx>
        <w:tc>
          <w:tcPr>
            <w:tcW w:w="7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изделия, работ, услуг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(шт.)</w:t>
            </w:r>
          </w:p>
        </w:tc>
      </w:tr>
      <w:tr w:rsidR="00D70E56">
        <w:tblPrEx>
          <w:tblCellMar>
            <w:top w:w="0" w:type="dxa"/>
            <w:bottom w:w="0" w:type="dxa"/>
          </w:tblCellMar>
        </w:tblPrEx>
        <w:trPr>
          <w:trHeight w:val="3987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Протез голени лечебно-тренировочный.</w:t>
            </w:r>
          </w:p>
          <w:p w:rsidR="00D70E56" w:rsidRDefault="00062278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Формообразующая часть косметической облицовки должна быть модульная мягкая полиуретановая.  Косметическое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покрытие облицовки должны быть чулки ортопедические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может допускаться покрытие защитное плёночное.  Приёмная гильза должна быть  индивидуальной (одна пробная гильза).   Материал индивидуальной постоянной гильзы:   должен быть литьевой слоистый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пластик на основе  акриловых смол.  Может допускаться применение вкладной гильзы из вспененных материалов. Крепление протеза должно быть с использованием гильз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манжеты с шинами) бедра.  Регулировочно-соединительные устройства должны соответствовать весу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нвалида. Стопа должна быть шарнирная полиуретановая, монолитная. Тип протеза должен быть лечебно-тренировочный.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70E56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Протез голени модульный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Формообразующая часть косметической облицовки должна быть модульная мягкая,  листовой поролон. Косметическое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покрытие облицовки должны быть чулки ортопедические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может допускаться покрытие защитное плёночное.  Приёмная гильза должна быть индивидуальной (две пробные гильзы).   Материал индивидуальной постоянной гильзы:   должен быть литьевой слоистый пл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астик на основе  акриловых смол.  Может допускаться применение вкладной гильзы из вспененных материалов. Крепление должно быть с помощью чехла полимерного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гелевого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стопа должна быть с голеностопным шарниром подвижным в сагиттальной плоскости со сменным пя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точным амортизатором, поворотное устройство должно отсутствовать. Тип протеза должен быть постоянный.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0E5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Standard"/>
              <w:rPr>
                <w:rFonts w:eastAsia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Протез голени модульный для купания.</w:t>
            </w:r>
          </w:p>
          <w:p w:rsidR="00D70E56" w:rsidRDefault="00062278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Формообразующая  часть  косметической  облицовки  должна отсутствовать; чулки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перлоновые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должны отсутствовать; покрытие  косметическое  должно быть пленочное  с  водоотталкивающими свойствами. Приёмная гильза должна быть индивидуальная. Материал индивид</w:t>
            </w:r>
            <w:r>
              <w:rPr>
                <w:rFonts w:ascii="Times New Roman" w:eastAsia="Times New Roman" w:hAnsi="Times New Roman" w:cs="Times New Roman"/>
              </w:rPr>
              <w:t xml:space="preserve">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гелевые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крепление  должно быть с  использованием  замка  из  полимерных  материалов. Регулировочно</w:t>
            </w:r>
            <w:r>
              <w:rPr>
                <w:rFonts w:ascii="Times New Roman" w:eastAsia="Times New Roman" w:hAnsi="Times New Roman" w:cs="Times New Roman"/>
              </w:rPr>
              <w:t xml:space="preserve">-соединительные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устройства  должны  соответствовать   весу  инвалида,  и  выполнены  из  пластических  материалов. Стопа  ППУ  для  купальных протезов. Назначение должно быть в качестве вспомогательного протеза.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70E5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Standard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Протез голени модульный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высокофункцион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альный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D70E56" w:rsidRDefault="00062278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Протез голени модульный должен быть с силиконовым чехлом с замковым устройством. Формообразующая часть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косметической</w:t>
            </w:r>
            <w:proofErr w:type="gramEnd"/>
          </w:p>
          <w:p w:rsidR="00D70E56" w:rsidRDefault="00062278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облицовки должна быть модульная мягкая полиуретановая.</w:t>
            </w:r>
          </w:p>
          <w:p w:rsidR="00D70E56" w:rsidRDefault="00062278">
            <w:pPr>
              <w:pStyle w:val="Standard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Косметическое покрытие облицовки должны быть чулки ортопедические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перлоновые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Приёмная гильза должна быть индивидуальная (одна пробная гильза). Материал индивидуальной постоянной гильзы должен быть  литьевой слоистый пластик на основе акриловых смол. Вкладная гильза должна быть из полимерных вспененных материалов. Крепле</w:t>
            </w:r>
            <w:r>
              <w:rPr>
                <w:rFonts w:ascii="Times New Roman" w:eastAsia="Times New Roman" w:hAnsi="Times New Roman" w:cs="Times New Roman"/>
              </w:rPr>
              <w:t xml:space="preserve">ние протеза должно быть с использованием кожаных полуфабрикатов. Регулировочно-соединительные устройства должны соответствовать весу инвалида. Стопа должна быть карбоновая с пирамидальными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адаптарами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карбоновыми пружинами передних отделов стоп, должна об</w:t>
            </w:r>
            <w:r>
              <w:rPr>
                <w:rFonts w:ascii="Times New Roman" w:eastAsia="Times New Roman" w:hAnsi="Times New Roman" w:cs="Times New Roman"/>
              </w:rPr>
              <w:t>еспечивать физиологичный перекат и подталкивающий эффект при переходе на носок стопы. Стопа должна подходить для различной скорости ходьбы, без ухудшения комфортности, снижая нагрузку на здоровую конечность. Тип протеза должен быть постоянный.</w:t>
            </w:r>
          </w:p>
          <w:p w:rsidR="00D70E56" w:rsidRDefault="00D70E56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0E56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Standard"/>
              <w:jc w:val="both"/>
              <w:rPr>
                <w:rFonts w:ascii="Times New Roman" w:eastAsia="Arial" w:hAnsi="Times New Roman" w:cs="Arial"/>
                <w:b/>
                <w:bCs/>
                <w:szCs w:val="21"/>
              </w:rPr>
            </w:pPr>
            <w:r>
              <w:rPr>
                <w:rFonts w:ascii="Times New Roman" w:eastAsia="Arial" w:hAnsi="Times New Roman" w:cs="Arial"/>
                <w:b/>
                <w:bCs/>
                <w:szCs w:val="21"/>
              </w:rPr>
              <w:t>Протез</w:t>
            </w:r>
            <w:r>
              <w:rPr>
                <w:rFonts w:ascii="Times New Roman" w:eastAsia="Arial" w:hAnsi="Times New Roman" w:cs="Arial"/>
                <w:b/>
                <w:bCs/>
                <w:szCs w:val="21"/>
              </w:rPr>
              <w:t xml:space="preserve"> голени модульный (</w:t>
            </w:r>
            <w:proofErr w:type="spellStart"/>
            <w:r>
              <w:rPr>
                <w:rFonts w:ascii="Times New Roman" w:eastAsia="Arial" w:hAnsi="Times New Roman" w:cs="Arial"/>
                <w:b/>
                <w:bCs/>
                <w:szCs w:val="21"/>
              </w:rPr>
              <w:t>высокофункциональный</w:t>
            </w:r>
            <w:proofErr w:type="spellEnd"/>
            <w:r>
              <w:rPr>
                <w:rFonts w:ascii="Times New Roman" w:eastAsia="Arial" w:hAnsi="Times New Roman" w:cs="Arial"/>
                <w:b/>
                <w:bCs/>
                <w:szCs w:val="21"/>
              </w:rPr>
              <w:t>)</w:t>
            </w:r>
          </w:p>
          <w:p w:rsidR="00D70E56" w:rsidRDefault="00062278">
            <w:pPr>
              <w:pStyle w:val="Standard"/>
              <w:jc w:val="both"/>
              <w:rPr>
                <w:rFonts w:ascii="Times New Roman" w:eastAsia="Arial" w:hAnsi="Times New Roman" w:cs="Arial"/>
                <w:szCs w:val="21"/>
              </w:rPr>
            </w:pPr>
            <w:r>
              <w:rPr>
                <w:rFonts w:ascii="Times New Roman" w:eastAsia="Arial" w:hAnsi="Times New Roman" w:cs="Arial"/>
                <w:szCs w:val="21"/>
              </w:rPr>
              <w:t xml:space="preserve">Формообразующая часть косметической облицовки должна быть модульная мягкая, листовой поролон. Косметическое покрытие облицовки должны быть чулки ортопедические </w:t>
            </w:r>
            <w:proofErr w:type="spellStart"/>
            <w:r>
              <w:rPr>
                <w:rFonts w:ascii="Times New Roman" w:eastAsia="Arial" w:hAnsi="Times New Roman" w:cs="Arial"/>
                <w:szCs w:val="21"/>
              </w:rPr>
              <w:t>перлоновые</w:t>
            </w:r>
            <w:proofErr w:type="spellEnd"/>
            <w:r>
              <w:rPr>
                <w:rFonts w:ascii="Times New Roman" w:eastAsia="Arial" w:hAnsi="Times New Roman" w:cs="Arial"/>
                <w:szCs w:val="21"/>
              </w:rPr>
              <w:t>. Приемная гильза должна быть индивидуального</w:t>
            </w:r>
            <w:r>
              <w:rPr>
                <w:rFonts w:ascii="Times New Roman" w:eastAsia="Arial" w:hAnsi="Times New Roman" w:cs="Arial"/>
                <w:szCs w:val="21"/>
              </w:rPr>
              <w:t xml:space="preserve"> изготовления. Материал индивидуальной постоянной гильзы должен быть из литьевого слоистого пластика на основе акриловых смол. Должна применяться вкладная гильза из вспененных материалов. Крепление протеза на конечности должно осуществляется при помощи ман</w:t>
            </w:r>
            <w:r>
              <w:rPr>
                <w:rFonts w:ascii="Times New Roman" w:eastAsia="Arial" w:hAnsi="Times New Roman" w:cs="Arial"/>
                <w:szCs w:val="21"/>
              </w:rPr>
              <w:t>жеты на бедро и специальных коленных шин из титанового сплава. РСУ должно соответствовать весу инвалида. Стопа должна быть карбоновая (</w:t>
            </w:r>
            <w:proofErr w:type="spellStart"/>
            <w:r>
              <w:rPr>
                <w:rFonts w:ascii="Times New Roman" w:eastAsia="Arial" w:hAnsi="Times New Roman" w:cs="Arial"/>
                <w:szCs w:val="21"/>
              </w:rPr>
              <w:t>угепластиковая</w:t>
            </w:r>
            <w:proofErr w:type="spellEnd"/>
            <w:r>
              <w:rPr>
                <w:rFonts w:ascii="Times New Roman" w:eastAsia="Arial" w:hAnsi="Times New Roman" w:cs="Arial"/>
                <w:szCs w:val="21"/>
              </w:rPr>
              <w:t xml:space="preserve">) с повышенным уровнем двигательной активности с высокой степенью энергосбережения по типу </w:t>
            </w:r>
            <w:r>
              <w:rPr>
                <w:rFonts w:ascii="Times New Roman" w:eastAsia="Arial" w:hAnsi="Times New Roman" w:cs="Arial"/>
                <w:szCs w:val="21"/>
                <w:lang w:val="en-US"/>
              </w:rPr>
              <w:t>TRITON</w:t>
            </w:r>
            <w:r w:rsidRPr="009B5EDB">
              <w:rPr>
                <w:rFonts w:ascii="Times New Roman" w:eastAsia="Arial" w:hAnsi="Times New Roman" w:cs="Arial"/>
                <w:szCs w:val="21"/>
              </w:rPr>
              <w:t xml:space="preserve"> </w:t>
            </w:r>
            <w:r>
              <w:rPr>
                <w:rFonts w:ascii="Times New Roman" w:eastAsia="Arial" w:hAnsi="Times New Roman" w:cs="Arial"/>
                <w:szCs w:val="21"/>
              </w:rPr>
              <w:t>со встрое</w:t>
            </w:r>
            <w:r>
              <w:rPr>
                <w:rFonts w:ascii="Times New Roman" w:eastAsia="Arial" w:hAnsi="Times New Roman" w:cs="Arial"/>
                <w:szCs w:val="21"/>
              </w:rPr>
              <w:t>нным торсионным адаптером, компенсирующим боковые нагрузки. Стопа должна обеспечивать физиологический перекат и подталкивающий эффект при переходе на носок стопы, благодаря передаче накопленной энергии. Стопа должна подходить для различной скорости ходьбы,</w:t>
            </w:r>
            <w:r>
              <w:rPr>
                <w:rFonts w:ascii="Times New Roman" w:eastAsia="Arial" w:hAnsi="Times New Roman" w:cs="Arial"/>
                <w:szCs w:val="21"/>
              </w:rPr>
              <w:t xml:space="preserve"> без ухудшения комфортности, снижая нагрузку на здоровую конечность.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E56" w:rsidRDefault="00062278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70E56" w:rsidRDefault="00D70E56">
      <w:pPr>
        <w:pStyle w:val="Standard"/>
        <w:shd w:val="clear" w:color="auto" w:fill="FFFFFF"/>
        <w:tabs>
          <w:tab w:val="left" w:pos="2590"/>
        </w:tabs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D70E56" w:rsidRDefault="00062278">
      <w:pPr>
        <w:pStyle w:val="Standard"/>
        <w:widowControl w:val="0"/>
        <w:shd w:val="clear" w:color="auto" w:fill="FFFFFF"/>
        <w:tabs>
          <w:tab w:val="left" w:pos="2590"/>
        </w:tabs>
        <w:suppressAutoHyphens w:val="0"/>
        <w:ind w:firstLine="709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Протезно-ортопедические изделия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должны отвечать требованиям ГОСТ  </w:t>
      </w:r>
      <w:proofErr w:type="gramStart"/>
      <w:r>
        <w:rPr>
          <w:rFonts w:ascii="Times New Roman" w:hAnsi="Times New Roman" w:cs="Times New Roman"/>
          <w:color w:val="000000"/>
          <w:lang w:eastAsia="en-US" w:bidi="en-US"/>
        </w:rPr>
        <w:t>Р</w:t>
      </w:r>
      <w:proofErr w:type="gramEnd"/>
      <w:r>
        <w:rPr>
          <w:rFonts w:ascii="Times New Roman" w:hAnsi="Times New Roman" w:cs="Times New Roman"/>
          <w:color w:val="000000"/>
          <w:lang w:eastAsia="en-US" w:bidi="en-US"/>
        </w:rPr>
        <w:t xml:space="preserve"> 5</w:t>
      </w:r>
      <w:r>
        <w:rPr>
          <w:rFonts w:ascii="Times New Roman" w:hAnsi="Times New Roman" w:cs="Times New Roman"/>
          <w:color w:val="000000"/>
          <w:lang w:eastAsia="en-US" w:bidi="en-US"/>
        </w:rPr>
        <w:t>2770</w:t>
      </w:r>
      <w:r>
        <w:rPr>
          <w:rFonts w:ascii="Times New Roman" w:hAnsi="Times New Roman" w:cs="Times New Roman"/>
          <w:color w:val="000000"/>
          <w:lang w:eastAsia="en-US" w:bidi="en-US"/>
        </w:rPr>
        <w:t>-20</w:t>
      </w:r>
      <w:r w:rsidRPr="009B5EDB">
        <w:rPr>
          <w:rFonts w:ascii="Times New Roman" w:hAnsi="Times New Roman" w:cs="Times New Roman"/>
          <w:color w:val="000000"/>
          <w:lang w:eastAsia="en-US" w:bidi="en-US"/>
        </w:rPr>
        <w:t>16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«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Изделия медицинские. Требования безопасности. Методы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санитарно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— химических и токсикологических испытаний».</w:t>
      </w:r>
    </w:p>
    <w:p w:rsidR="00D70E56" w:rsidRDefault="00D70E56">
      <w:pPr>
        <w:pStyle w:val="Standard"/>
        <w:widowControl w:val="0"/>
        <w:shd w:val="clear" w:color="auto" w:fill="FFFFFF"/>
        <w:tabs>
          <w:tab w:val="left" w:pos="2590"/>
        </w:tabs>
        <w:suppressAutoHyphens w:val="0"/>
        <w:ind w:firstLine="709"/>
        <w:jc w:val="both"/>
        <w:rPr>
          <w:rFonts w:ascii="Times New Roman" w:hAnsi="Times New Roman" w:cs="Times New Roman"/>
          <w:color w:val="000000"/>
          <w:lang w:eastAsia="en-US" w:bidi="en-US"/>
        </w:rPr>
      </w:pPr>
    </w:p>
    <w:p w:rsidR="00D70E56" w:rsidRDefault="00062278">
      <w:pPr>
        <w:pStyle w:val="a7"/>
        <w:widowControl w:val="0"/>
        <w:shd w:val="clear" w:color="auto" w:fill="FFFFFF"/>
        <w:tabs>
          <w:tab w:val="left" w:pos="450"/>
        </w:tabs>
        <w:suppressAutoHyphens w:val="0"/>
        <w:ind w:left="0" w:firstLine="736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Срок выполнения работ - в течение 75 (семидесяти пяти) календарных дней </w:t>
      </w:r>
      <w:proofErr w:type="gramStart"/>
      <w:r>
        <w:rPr>
          <w:rFonts w:ascii="Times New Roman" w:hAnsi="Times New Roman" w:cs="Times New Roman"/>
          <w:bCs/>
          <w:color w:val="000000"/>
          <w:lang w:eastAsia="en-US" w:bidi="en-US"/>
        </w:rPr>
        <w:t>с даты получения</w:t>
      </w:r>
      <w:proofErr w:type="gramEnd"/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 от 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Заказчика Реестра получателей, и (или) не позднее 29 (двадцати девяти)           календарных дней с момента получения направления Исполнителем от Получателя. Направления принимаются Исполнителем не позднее </w:t>
      </w:r>
      <w:r w:rsidRPr="009B5EDB">
        <w:rPr>
          <w:rFonts w:ascii="Times New Roman" w:hAnsi="Times New Roman" w:cs="Times New Roman"/>
          <w:bCs/>
          <w:color w:val="000000"/>
          <w:lang w:eastAsia="en-US" w:bidi="en-US"/>
        </w:rPr>
        <w:t>25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.11.2019</w:t>
      </w:r>
      <w:r w:rsidRPr="009B5EDB">
        <w:rPr>
          <w:rFonts w:ascii="Times New Roman" w:hAnsi="Times New Roman" w:cs="Times New Roman"/>
          <w:bCs/>
          <w:color w:val="000000"/>
          <w:lang w:eastAsia="en-US" w:bidi="en-US"/>
        </w:rPr>
        <w:t>.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 В случае приема Направлений после указ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анного срока, Исполнитель принимает на себя обязательства по выполнению работ в срок до 23.12.2019.</w:t>
      </w:r>
    </w:p>
    <w:p w:rsidR="00D70E56" w:rsidRDefault="00062278">
      <w:pPr>
        <w:pStyle w:val="a7"/>
        <w:widowControl w:val="0"/>
        <w:shd w:val="clear" w:color="auto" w:fill="FFFFFF"/>
        <w:tabs>
          <w:tab w:val="left" w:pos="450"/>
        </w:tabs>
        <w:suppressAutoHyphens w:val="0"/>
        <w:ind w:left="0" w:firstLine="764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>Место выполнения работ:</w:t>
      </w:r>
      <w:r>
        <w:rPr>
          <w:rFonts w:ascii="Times New Roman" w:hAnsi="Times New Roman" w:cs="Tahoma"/>
          <w:bCs/>
          <w:color w:val="000000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Сибирский федеральный округ</w:t>
      </w:r>
    </w:p>
    <w:p w:rsidR="00D70E56" w:rsidRDefault="00D70E56">
      <w:pPr>
        <w:pStyle w:val="Standard"/>
        <w:shd w:val="clear" w:color="auto" w:fill="FFFFFF"/>
        <w:tabs>
          <w:tab w:val="left" w:pos="2590"/>
        </w:tabs>
        <w:rPr>
          <w:rFonts w:ascii="Times New Roman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D70E56" w:rsidRDefault="000622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 к техническим характеристикам</w:t>
      </w:r>
    </w:p>
    <w:p w:rsidR="00D70E56" w:rsidRDefault="00D70E56">
      <w:pPr>
        <w:pStyle w:val="Standard"/>
        <w:jc w:val="center"/>
        <w:rPr>
          <w:rFonts w:ascii="Times New Roman" w:hAnsi="Times New Roman"/>
          <w:b/>
        </w:rPr>
      </w:pPr>
    </w:p>
    <w:p w:rsidR="00D70E56" w:rsidRDefault="00062278">
      <w:pPr>
        <w:pStyle w:val="Standard"/>
        <w:ind w:firstLine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Выполнение работ по протезированию должно быть направлено на </w:t>
      </w:r>
      <w:r>
        <w:rPr>
          <w:rFonts w:ascii="Times New Roman" w:hAnsi="Times New Roman"/>
        </w:rPr>
        <w:t>изготовление технических устройств, к которым относятся  протезы голени, для обеспечения механической фиксации.</w:t>
      </w:r>
    </w:p>
    <w:p w:rsidR="00D70E56" w:rsidRDefault="00062278">
      <w:pPr>
        <w:pStyle w:val="Standard"/>
        <w:ind w:firstLine="90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Выполняемые работы должны включать комплекс медицинских, технических и социальных мероприятий, проводимых с инвалидами, имеющих нарушения травма</w:t>
      </w:r>
      <w:r>
        <w:rPr>
          <w:rFonts w:ascii="Times New Roman" w:hAnsi="Times New Roman"/>
          <w:lang w:eastAsia="ar-SA"/>
        </w:rPr>
        <w:t>тологического, и иного характера заболеваний, а также других дефектов  организма  и  обеспечивать компенсацию неустранимых анатомических дефектов и деформаций.</w:t>
      </w:r>
    </w:p>
    <w:p w:rsidR="00D70E56" w:rsidRDefault="00D70E56">
      <w:pPr>
        <w:pStyle w:val="Standard"/>
        <w:jc w:val="both"/>
        <w:rPr>
          <w:rFonts w:ascii="Times New Roman" w:hAnsi="Times New Roman"/>
        </w:rPr>
      </w:pPr>
    </w:p>
    <w:p w:rsidR="00D70E56" w:rsidRDefault="00062278">
      <w:pPr>
        <w:pStyle w:val="Standard"/>
        <w:jc w:val="center"/>
        <w:rPr>
          <w:rFonts w:ascii="Times New Roman" w:hAnsi="Times New Roman" w:cs="Tahoma"/>
          <w:b/>
          <w:color w:val="000000"/>
          <w:lang w:eastAsia="en-US" w:bidi="en-US"/>
        </w:rPr>
      </w:pPr>
      <w:r>
        <w:rPr>
          <w:rFonts w:ascii="Times New Roman" w:hAnsi="Times New Roman" w:cs="Tahoma"/>
          <w:b/>
          <w:color w:val="000000"/>
          <w:lang w:eastAsia="en-US" w:bidi="en-US"/>
        </w:rPr>
        <w:t>Требования к безопасности работ</w:t>
      </w:r>
    </w:p>
    <w:p w:rsidR="00D70E56" w:rsidRDefault="00D70E56">
      <w:pPr>
        <w:pStyle w:val="Standard"/>
        <w:jc w:val="both"/>
        <w:rPr>
          <w:rFonts w:ascii="Times New Roman" w:hAnsi="Times New Roman"/>
        </w:rPr>
      </w:pPr>
    </w:p>
    <w:p w:rsidR="00D70E56" w:rsidRDefault="00062278">
      <w:pPr>
        <w:pStyle w:val="Standard"/>
        <w:ind w:firstLine="855"/>
        <w:jc w:val="both"/>
        <w:rPr>
          <w:rFonts w:ascii="Times New Roman" w:hAnsi="Times New Roman" w:cs="Tahoma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Материалы, узлы, полуфабрикаты для изготовления протезно-ортоп</w:t>
      </w:r>
      <w:r>
        <w:rPr>
          <w:rFonts w:ascii="Times New Roman" w:hAnsi="Times New Roman" w:cs="Tahoma"/>
          <w:color w:val="000000"/>
          <w:lang w:eastAsia="en-US" w:bidi="en-US"/>
        </w:rPr>
        <w:t xml:space="preserve">едических изделий и </w:t>
      </w:r>
      <w:proofErr w:type="spellStart"/>
      <w:r>
        <w:rPr>
          <w:rFonts w:ascii="Times New Roman" w:hAnsi="Times New Roman" w:cs="Tahoma"/>
          <w:color w:val="000000"/>
          <w:lang w:eastAsia="en-US" w:bidi="en-US"/>
        </w:rPr>
        <w:t>ортезов</w:t>
      </w:r>
      <w:proofErr w:type="spellEnd"/>
      <w:r>
        <w:rPr>
          <w:rFonts w:ascii="Times New Roman" w:hAnsi="Times New Roman" w:cs="Tahoma"/>
          <w:color w:val="000000"/>
          <w:lang w:eastAsia="en-US" w:bidi="en-US"/>
        </w:rPr>
        <w:t xml:space="preserve"> должны соответствовать требованиям действующих стандартов и технических условий.</w:t>
      </w:r>
    </w:p>
    <w:p w:rsidR="00D70E56" w:rsidRDefault="00D70E56">
      <w:pPr>
        <w:pStyle w:val="Standard"/>
        <w:jc w:val="both"/>
        <w:rPr>
          <w:rFonts w:ascii="Times New Roman" w:hAnsi="Times New Roman"/>
        </w:rPr>
      </w:pPr>
    </w:p>
    <w:p w:rsidR="00D70E56" w:rsidRDefault="00062278">
      <w:pPr>
        <w:pStyle w:val="Standard"/>
        <w:jc w:val="center"/>
        <w:rPr>
          <w:rFonts w:ascii="Times New Roman" w:hAnsi="Times New Roman" w:cs="Tahoma"/>
          <w:b/>
          <w:color w:val="000000"/>
          <w:lang w:eastAsia="en-US" w:bidi="en-US"/>
        </w:rPr>
      </w:pPr>
      <w:r>
        <w:rPr>
          <w:rFonts w:ascii="Times New Roman" w:hAnsi="Times New Roman" w:cs="Tahoma"/>
          <w:b/>
          <w:color w:val="000000"/>
          <w:lang w:eastAsia="en-US" w:bidi="en-US"/>
        </w:rPr>
        <w:t xml:space="preserve">                   </w:t>
      </w:r>
    </w:p>
    <w:p w:rsidR="00D70E56" w:rsidRDefault="00062278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 w:cs="Tahoma"/>
          <w:b/>
          <w:color w:val="000000"/>
          <w:lang w:eastAsia="en-US" w:bidi="en-US"/>
        </w:rPr>
        <w:t xml:space="preserve"> Требования к функциональным характеристикам</w:t>
      </w:r>
      <w:r>
        <w:rPr>
          <w:rFonts w:ascii="Times New Roman" w:hAnsi="Times New Roman" w:cs="Tahoma"/>
          <w:color w:val="000000"/>
          <w:lang w:eastAsia="en-US" w:bidi="en-US"/>
        </w:rPr>
        <w:t xml:space="preserve">     </w:t>
      </w:r>
    </w:p>
    <w:p w:rsidR="00D70E56" w:rsidRDefault="00062278">
      <w:pPr>
        <w:pStyle w:val="Standard"/>
        <w:jc w:val="both"/>
        <w:rPr>
          <w:rFonts w:ascii="Times New Roman" w:hAnsi="Times New Roman" w:cs="Tahoma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 xml:space="preserve">   </w:t>
      </w:r>
    </w:p>
    <w:p w:rsidR="00D70E56" w:rsidRDefault="00062278">
      <w:pPr>
        <w:pStyle w:val="Standard"/>
        <w:ind w:firstLine="855"/>
        <w:jc w:val="both"/>
        <w:rPr>
          <w:rFonts w:ascii="Times New Roman" w:hAnsi="Times New Roman" w:cs="Tahoma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Протезы несут фиксирующую, функциональную, разгружающую, корригирующую функцию и используются для коррекции взаимоположения неустранимых анатомических дефектов и деформаций.</w:t>
      </w:r>
    </w:p>
    <w:p w:rsidR="00D70E56" w:rsidRDefault="00D70E56">
      <w:pPr>
        <w:pStyle w:val="Standard"/>
        <w:jc w:val="both"/>
        <w:rPr>
          <w:rFonts w:ascii="Times New Roman" w:hAnsi="Times New Roman" w:cs="Tahoma"/>
          <w:b/>
          <w:color w:val="000000"/>
          <w:lang w:eastAsia="en-US" w:bidi="en-US"/>
        </w:rPr>
      </w:pPr>
    </w:p>
    <w:p w:rsidR="00D70E56" w:rsidRDefault="00D70E56">
      <w:pPr>
        <w:pStyle w:val="Standard"/>
        <w:jc w:val="both"/>
        <w:rPr>
          <w:rFonts w:ascii="Times New Roman" w:hAnsi="Times New Roman" w:cs="Tahoma"/>
          <w:b/>
          <w:color w:val="000000"/>
          <w:lang w:eastAsia="en-US" w:bidi="en-US"/>
        </w:rPr>
      </w:pPr>
    </w:p>
    <w:p w:rsidR="00D70E56" w:rsidRDefault="00062278">
      <w:pPr>
        <w:pStyle w:val="Standard"/>
        <w:jc w:val="center"/>
        <w:rPr>
          <w:rFonts w:ascii="Times New Roman" w:hAnsi="Times New Roman" w:cs="Tahoma"/>
          <w:b/>
          <w:color w:val="000000"/>
          <w:lang w:eastAsia="en-US" w:bidi="en-US"/>
        </w:rPr>
      </w:pPr>
      <w:r>
        <w:rPr>
          <w:rFonts w:ascii="Times New Roman" w:hAnsi="Times New Roman" w:cs="Tahoma"/>
          <w:b/>
          <w:color w:val="000000"/>
          <w:lang w:eastAsia="en-US" w:bidi="en-US"/>
        </w:rPr>
        <w:t xml:space="preserve">Требования к сроку и (или) объему предоставленных гарантий качества </w:t>
      </w:r>
      <w:r>
        <w:rPr>
          <w:rFonts w:ascii="Times New Roman" w:hAnsi="Times New Roman" w:cs="Tahoma"/>
          <w:b/>
          <w:color w:val="000000"/>
          <w:lang w:eastAsia="en-US" w:bidi="en-US"/>
        </w:rPr>
        <w:t>выполнения работ</w:t>
      </w:r>
    </w:p>
    <w:p w:rsidR="00D70E56" w:rsidRDefault="00D70E56">
      <w:pPr>
        <w:pStyle w:val="Standard"/>
        <w:jc w:val="both"/>
        <w:rPr>
          <w:rFonts w:ascii="Times New Roman" w:hAnsi="Times New Roman" w:cs="Tahoma"/>
          <w:color w:val="000000"/>
          <w:lang w:eastAsia="en-US" w:bidi="en-US"/>
        </w:rPr>
      </w:pPr>
    </w:p>
    <w:p w:rsidR="00D70E56" w:rsidRDefault="00062278">
      <w:pPr>
        <w:pStyle w:val="Standard"/>
        <w:ind w:firstLine="450"/>
        <w:jc w:val="both"/>
        <w:rPr>
          <w:rFonts w:ascii="Times New Roman" w:hAnsi="Times New Roman" w:cs="Tahoma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</w:t>
      </w:r>
      <w:r>
        <w:rPr>
          <w:rFonts w:ascii="Times New Roman" w:hAnsi="Times New Roman" w:cs="Tahoma"/>
          <w:color w:val="000000"/>
          <w:lang w:eastAsia="en-US" w:bidi="en-US"/>
        </w:rPr>
        <w:t>я в результате действия или упущения Исполнителя при нормальном использовании в обычных условиях эксплуатации.</w:t>
      </w:r>
    </w:p>
    <w:p w:rsidR="00D70E56" w:rsidRDefault="00062278">
      <w:pPr>
        <w:pStyle w:val="Standard"/>
        <w:keepNext/>
        <w:keepLines/>
        <w:widowControl w:val="0"/>
        <w:shd w:val="clear" w:color="auto" w:fill="FFFFFF"/>
        <w:tabs>
          <w:tab w:val="left" w:pos="2590"/>
        </w:tabs>
        <w:autoSpaceDE w:val="0"/>
        <w:ind w:firstLine="795"/>
        <w:jc w:val="both"/>
        <w:rPr>
          <w:rFonts w:ascii="Times New Roman" w:hAnsi="Times New Roman" w:cs="Times New Roman"/>
          <w:b/>
          <w:bCs/>
          <w:color w:val="000000"/>
          <w:lang w:eastAsia="en-US" w:bidi="en-US"/>
        </w:rPr>
      </w:pPr>
      <w:r>
        <w:rPr>
          <w:rFonts w:ascii="Times New Roman" w:hAnsi="Times New Roman" w:cs="Times New Roman"/>
          <w:b/>
          <w:bCs/>
          <w:color w:val="000000"/>
          <w:lang w:eastAsia="en-US" w:bidi="en-US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</w:p>
    <w:p w:rsidR="00D70E56" w:rsidRDefault="00D70E56">
      <w:pPr>
        <w:pStyle w:val="Standard"/>
        <w:tabs>
          <w:tab w:val="left" w:pos="2590"/>
        </w:tabs>
        <w:jc w:val="center"/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</w:pPr>
      <w:bookmarkStart w:id="0" w:name="_GoBack"/>
      <w:bookmarkEnd w:id="0"/>
    </w:p>
    <w:sectPr w:rsidR="00D70E56">
      <w:pgSz w:w="11906" w:h="16838"/>
      <w:pgMar w:top="777" w:right="850" w:bottom="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78" w:rsidRDefault="00062278">
      <w:r>
        <w:separator/>
      </w:r>
    </w:p>
  </w:endnote>
  <w:endnote w:type="continuationSeparator" w:id="0">
    <w:p w:rsidR="00062278" w:rsidRDefault="0006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78" w:rsidRDefault="00062278">
      <w:r>
        <w:rPr>
          <w:color w:val="000000"/>
        </w:rPr>
        <w:separator/>
      </w:r>
    </w:p>
  </w:footnote>
  <w:footnote w:type="continuationSeparator" w:id="0">
    <w:p w:rsidR="00062278" w:rsidRDefault="0006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FF3"/>
    <w:multiLevelType w:val="multilevel"/>
    <w:tmpl w:val="DD3C0A2C"/>
    <w:styleLink w:val="WWNum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D060E01"/>
    <w:multiLevelType w:val="multilevel"/>
    <w:tmpl w:val="FACE4B9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B2A75A8"/>
    <w:multiLevelType w:val="multilevel"/>
    <w:tmpl w:val="E33ACD2E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DE70E6D"/>
    <w:multiLevelType w:val="multilevel"/>
    <w:tmpl w:val="3B04768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E56"/>
    <w:rsid w:val="00062278"/>
    <w:rsid w:val="009B5EDB"/>
    <w:rsid w:val="00D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Calibri"/>
      <w:lang w:eastAsia="ar-SA"/>
    </w:rPr>
  </w:style>
  <w:style w:type="paragraph" w:styleId="a9">
    <w:name w:val="header"/>
    <w:basedOn w:val="Standard"/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eastAsia="Arial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</w:pPr>
    <w:rPr>
      <w:rFonts w:eastAsia="Times New Roman" w:cs="Times New Roman"/>
    </w:rPr>
  </w:style>
  <w:style w:type="paragraph" w:styleId="aa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175" w:lineRule="exact"/>
    </w:pPr>
    <w:rPr>
      <w:rFonts w:eastAsia="Times New Roman" w:cs="Times New Roma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List Paragraph"/>
    <w:basedOn w:val="Standard"/>
    <w:pPr>
      <w:ind w:left="720"/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Calibri"/>
      <w:lang w:eastAsia="ar-SA"/>
    </w:rPr>
  </w:style>
  <w:style w:type="paragraph" w:styleId="a9">
    <w:name w:val="header"/>
    <w:basedOn w:val="Standard"/>
  </w:style>
  <w:style w:type="paragraph" w:customStyle="1" w:styleId="ConsPlusNormal">
    <w:name w:val="ConsPlusNormal"/>
    <w:next w:val="Standard"/>
    <w:pPr>
      <w:autoSpaceDE w:val="0"/>
      <w:ind w:firstLine="720"/>
    </w:pPr>
    <w:rPr>
      <w:rFonts w:eastAsia="Arial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widowControl w:val="0"/>
      <w:suppressAutoHyphens w:val="0"/>
      <w:autoSpaceDE w:val="0"/>
    </w:pPr>
    <w:rPr>
      <w:rFonts w:eastAsia="Times New Roman" w:cs="Times New Roman"/>
    </w:rPr>
  </w:style>
  <w:style w:type="paragraph" w:styleId="aa">
    <w:name w:val="No Spacing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175" w:lineRule="exact"/>
    </w:pPr>
    <w:rPr>
      <w:rFonts w:eastAsia="Times New Roman" w:cs="Times New Roman"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ind w:left="120" w:right="120" w:firstLine="150"/>
    </w:pPr>
    <w:rPr>
      <w:rFonts w:ascii="Tahoma" w:hAnsi="Tahoma" w:cs="Tahoma"/>
      <w:sz w:val="18"/>
      <w:szCs w:val="18"/>
    </w:rPr>
  </w:style>
  <w:style w:type="character" w:customStyle="1" w:styleId="ab">
    <w:name w:val="Нижний колонтитул Знак"/>
    <w:basedOn w:val="a0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rPr>
      <w:rFonts w:ascii="Times New Roman" w:hAnsi="Times New Roman" w:cs="Times New Roman"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NumberingSymbols">
    <w:name w:val="Numbering Symbols"/>
    <w:rPr>
      <w:b/>
      <w:bCs/>
      <w:sz w:val="24"/>
      <w:szCs w:val="24"/>
    </w:rPr>
  </w:style>
  <w:style w:type="character" w:customStyle="1" w:styleId="FontStyle26">
    <w:name w:val="Font Style26"/>
    <w:basedOn w:val="a0"/>
    <w:rPr>
      <w:rFonts w:ascii="Times New Roman" w:hAnsi="Times New Roman" w:cs="Times New Roman"/>
      <w:b/>
      <w:bCs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Баженова</dc:creator>
  <cp:lastModifiedBy>Папазян Анна</cp:lastModifiedBy>
  <cp:revision>2</cp:revision>
  <cp:lastPrinted>2018-11-26T12:25:00Z</cp:lastPrinted>
  <dcterms:created xsi:type="dcterms:W3CDTF">2018-12-17T12:27:00Z</dcterms:created>
  <dcterms:modified xsi:type="dcterms:W3CDTF">2018-12-17T12:27:00Z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