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C3" w:rsidRPr="003172C3" w:rsidRDefault="003172C3" w:rsidP="003172C3">
      <w:pPr>
        <w:keepNext/>
        <w:jc w:val="center"/>
        <w:rPr>
          <w:lang w:val="ru-RU"/>
        </w:rPr>
      </w:pPr>
      <w:r w:rsidRPr="003172C3">
        <w:rPr>
          <w:lang w:val="ru-RU"/>
        </w:rPr>
        <w:t>Техническое задание</w:t>
      </w:r>
    </w:p>
    <w:p w:rsidR="003172C3" w:rsidRPr="003172C3" w:rsidRDefault="003172C3" w:rsidP="003172C3">
      <w:pPr>
        <w:keepNext/>
        <w:jc w:val="center"/>
        <w:rPr>
          <w:lang w:val="ru-RU"/>
        </w:rPr>
      </w:pPr>
    </w:p>
    <w:p w:rsidR="003172C3" w:rsidRPr="003172C3" w:rsidRDefault="003172C3" w:rsidP="003172C3">
      <w:pPr>
        <w:widowControl w:val="0"/>
        <w:autoSpaceDN w:val="0"/>
        <w:ind w:firstLine="709"/>
        <w:jc w:val="both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3172C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3172C3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3172C3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 протезов нижних конечностей в количестве </w:t>
      </w:r>
      <w:r>
        <w:rPr>
          <w:rFonts w:cs="Times New Roman"/>
          <w:bCs/>
          <w:color w:val="auto"/>
          <w:kern w:val="3"/>
          <w:lang w:val="ru-RU" w:eastAsia="ru-RU" w:bidi="ar-SA"/>
        </w:rPr>
        <w:t>132</w:t>
      </w:r>
      <w:r w:rsidRPr="003172C3">
        <w:rPr>
          <w:rFonts w:cs="Times New Roman"/>
          <w:bCs/>
          <w:color w:val="auto"/>
          <w:kern w:val="3"/>
          <w:lang w:val="ru-RU" w:eastAsia="ru-RU" w:bidi="ar-SA"/>
        </w:rPr>
        <w:t xml:space="preserve"> шт.</w:t>
      </w:r>
    </w:p>
    <w:p w:rsidR="003172C3" w:rsidRPr="003172C3" w:rsidRDefault="003172C3" w:rsidP="003172C3">
      <w:pPr>
        <w:keepNext/>
        <w:jc w:val="center"/>
        <w:rPr>
          <w:lang w:val="ru-RU"/>
        </w:rPr>
      </w:pPr>
    </w:p>
    <w:tbl>
      <w:tblPr>
        <w:tblW w:w="10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825"/>
        <w:gridCol w:w="1275"/>
        <w:gridCol w:w="980"/>
        <w:gridCol w:w="1147"/>
      </w:tblGrid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172C3" w:rsidRPr="003172C3" w:rsidTr="006F469D">
        <w:trPr>
          <w:trHeight w:val="287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b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немодульного типа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jc w:val="both"/>
              <w:rPr>
                <w:rFonts w:eastAsia="Arial CYR"/>
                <w:sz w:val="22"/>
                <w:szCs w:val="22"/>
              </w:rPr>
            </w:pPr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Протез голени немодульного типа. Формообразующая часть косметической облицовки: листовой поролон. Косметическое покрытие: чулки ортопедические, перлоновые. Приемная гильза индивидуальная изготовленная по </w:t>
            </w:r>
            <w:proofErr w:type="spellStart"/>
            <w:r w:rsidRPr="003172C3">
              <w:rPr>
                <w:rFonts w:eastAsia="Arial CYR"/>
                <w:sz w:val="22"/>
                <w:szCs w:val="22"/>
                <w:lang w:val="ru-RU"/>
              </w:rPr>
              <w:t>обчерку</w:t>
            </w:r>
            <w:proofErr w:type="spellEnd"/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</w:t>
            </w:r>
            <w:proofErr w:type="spellStart"/>
            <w:r w:rsidRPr="003172C3">
              <w:rPr>
                <w:rFonts w:eastAsia="Arial CYR"/>
                <w:sz w:val="22"/>
                <w:szCs w:val="22"/>
                <w:lang w:val="ru-RU"/>
              </w:rPr>
              <w:t>пенополиуретана</w:t>
            </w:r>
            <w:proofErr w:type="spellEnd"/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шарнирная, полиуретановая, монолитная.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комплектуется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2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чехлами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шерстяными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, 2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чехлами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хлопчатобумажными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Тип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4537D0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rPr>
          <w:trHeight w:val="3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sz w:val="22"/>
                <w:szCs w:val="22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3172C3">
              <w:rPr>
                <w:rFonts w:eastAsia="Arial CYR"/>
                <w:sz w:val="22"/>
                <w:szCs w:val="22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силоновые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Тип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rFonts w:eastAsia="Arial CYR"/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rFonts w:eastAsia="Arial CYR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4537D0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rPr>
          <w:trHeight w:val="37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1423DB" w:rsidP="003172C3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1423DB">
              <w:rPr>
                <w:sz w:val="22"/>
                <w:szCs w:val="22"/>
                <w:lang w:val="ru-RU"/>
              </w:rPr>
              <w:t xml:space="preserve">Протез голени модульного типа. Облицовка </w:t>
            </w:r>
            <w:proofErr w:type="spellStart"/>
            <w:proofErr w:type="gramStart"/>
            <w:r w:rsidRPr="001423DB">
              <w:rPr>
                <w:sz w:val="22"/>
                <w:szCs w:val="22"/>
                <w:lang w:val="ru-RU"/>
              </w:rPr>
              <w:t>мягкая,полиуретановая</w:t>
            </w:r>
            <w:proofErr w:type="spellEnd"/>
            <w:proofErr w:type="gramEnd"/>
            <w:r w:rsidRPr="001423DB">
              <w:rPr>
                <w:sz w:val="22"/>
                <w:szCs w:val="22"/>
                <w:lang w:val="ru-RU"/>
              </w:rPr>
              <w:t xml:space="preserve"> (листовой поролон), покрытие облицовки: чулки силоновые или перлоновые, ортопедические. Приемная гильза индивидуальная, изготовленная по индивидуальному слепку с культи инвалида; количество приемных 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>( пробных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>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Тип протеза: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4537D0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jc w:val="both"/>
              <w:rPr>
                <w:sz w:val="22"/>
                <w:szCs w:val="22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3172C3">
              <w:rPr>
                <w:sz w:val="22"/>
                <w:szCs w:val="22"/>
              </w:rPr>
              <w:t>Тип</w:t>
            </w:r>
            <w:proofErr w:type="spellEnd"/>
            <w:r w:rsidRPr="003172C3">
              <w:rPr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4537D0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1423DB" w:rsidP="003172C3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1423DB">
              <w:rPr>
                <w:sz w:val="22"/>
                <w:szCs w:val="22"/>
                <w:lang w:val="ru-RU"/>
              </w:rPr>
              <w:t xml:space="preserve">Протез голени модульный. Облицовка мягкая полиуретановая. Косметическое покрытие облицовки: 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>чулки  ортопедические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 xml:space="preserve"> перлоновые или силоновые. Приемная гильза: индивидуальная, 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>изготовленная  по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 xml:space="preserve"> индивидуальному слепку с культи инвалида. Одна примерочная гильза из термопласта. Постоянная гильза из литьевого слоистого пластика на основе акриловых смол. В качестве вкладного элемента применяются чехлы полимерные гелиевые. Крепление протеза за счет выпускного вакуумного клапана и </w:t>
            </w:r>
            <w:proofErr w:type="gramStart"/>
            <w:r w:rsidRPr="001423DB">
              <w:rPr>
                <w:sz w:val="22"/>
                <w:szCs w:val="22"/>
                <w:lang w:val="ru-RU"/>
              </w:rPr>
              <w:t>полимерного  наколенника</w:t>
            </w:r>
            <w:proofErr w:type="gramEnd"/>
            <w:r w:rsidRPr="001423DB">
              <w:rPr>
                <w:sz w:val="22"/>
                <w:szCs w:val="22"/>
                <w:lang w:val="ru-RU"/>
              </w:rPr>
              <w:t>.  Регулировочно-соединительные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Тип протеза: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5D7D07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1423DB" w:rsidP="003172C3">
            <w:pPr>
              <w:widowControl w:val="0"/>
              <w:autoSpaceDN w:val="0"/>
              <w:snapToGrid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облицовки:  чулки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применяется силикон-лайнер с замковым креплением. Регулировочно-соединительные устройства соответствуют весу инвалида. Стопа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со  средней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степенью энергосбережения, с пружинными элементами, обеспечивающими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Тип протеза: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314A72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861EC8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1EC8" w:rsidRPr="00E77081" w:rsidRDefault="00861EC8" w:rsidP="00725EBB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E77081">
              <w:rPr>
                <w:sz w:val="22"/>
                <w:szCs w:val="22"/>
                <w:lang w:val="ru-RU"/>
              </w:rPr>
              <w:t xml:space="preserve">Протез голени модульного типа (стопа с карбоновым модулем)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1EC8" w:rsidRPr="00E95DD1" w:rsidRDefault="00861EC8" w:rsidP="00725EBB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E77081">
              <w:rPr>
                <w:rFonts w:eastAsia="Arial CYR"/>
                <w:sz w:val="22"/>
                <w:szCs w:val="22"/>
                <w:lang w:val="ru-RU"/>
              </w:rPr>
              <w:t xml:space="preserve">Протез голени с </w:t>
            </w:r>
            <w:proofErr w:type="spellStart"/>
            <w:r w:rsidRPr="00E77081">
              <w:rPr>
                <w:rFonts w:eastAsia="Arial CYR"/>
                <w:sz w:val="22"/>
                <w:szCs w:val="22"/>
                <w:lang w:val="ru-RU"/>
              </w:rPr>
              <w:t>сополимерным</w:t>
            </w:r>
            <w:proofErr w:type="spellEnd"/>
            <w:r w:rsidRPr="00E77081">
              <w:rPr>
                <w:rFonts w:eastAsia="Arial CYR"/>
                <w:sz w:val="22"/>
                <w:szCs w:val="22"/>
                <w:lang w:val="ru-RU"/>
              </w:rPr>
              <w:t xml:space="preserve">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</w:t>
            </w:r>
            <w:r w:rsidRPr="00E77081">
              <w:rPr>
                <w:rFonts w:eastAsia="Arial CYR"/>
                <w:sz w:val="22"/>
                <w:szCs w:val="22"/>
                <w:lang w:val="ru-RU"/>
              </w:rPr>
              <w:lastRenderedPageBreak/>
              <w:t xml:space="preserve">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</w:t>
            </w:r>
            <w:proofErr w:type="spellStart"/>
            <w:r w:rsidRPr="00E77081">
              <w:rPr>
                <w:rFonts w:eastAsia="Arial CYR"/>
                <w:sz w:val="22"/>
                <w:szCs w:val="22"/>
                <w:lang w:val="ru-RU"/>
              </w:rPr>
              <w:t>сополимерные</w:t>
            </w:r>
            <w:proofErr w:type="spellEnd"/>
            <w:r w:rsidRPr="00E77081">
              <w:rPr>
                <w:rFonts w:eastAsia="Arial CYR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7081">
              <w:rPr>
                <w:rFonts w:eastAsia="Arial CYR"/>
                <w:sz w:val="22"/>
                <w:szCs w:val="22"/>
                <w:lang w:val="ru-RU"/>
              </w:rPr>
              <w:t>гелевые</w:t>
            </w:r>
            <w:proofErr w:type="spellEnd"/>
            <w:r w:rsidRPr="00E77081">
              <w:rPr>
                <w:rFonts w:eastAsia="Arial CYR"/>
                <w:sz w:val="22"/>
                <w:szCs w:val="22"/>
                <w:lang w:val="ru-RU"/>
              </w:rPr>
              <w:t xml:space="preserve">, крепление с использованием замка для полимерных чехлов. Регулировочно-соединительные устройства соответствуют весу инвалида. Стопа с карбоновым модулем и гидравлической системой, расщепленным носком и пяткой, улучшающих контакт с поверхностью; изменяемая высота каблука в диапазоне от 0 до 3,5 см в возможностью ходьбы по наклонным поверхностям, для пациентов с 3 уровнем активности. </w:t>
            </w:r>
            <w:proofErr w:type="spellStart"/>
            <w:r w:rsidRPr="00D41505">
              <w:rPr>
                <w:rFonts w:eastAsia="Arial CYR"/>
                <w:sz w:val="22"/>
                <w:szCs w:val="22"/>
              </w:rPr>
              <w:t>Тип</w:t>
            </w:r>
            <w:proofErr w:type="spellEnd"/>
            <w:r w:rsidRPr="00D41505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D41505">
              <w:rPr>
                <w:rFonts w:eastAsia="Arial CYR"/>
                <w:sz w:val="22"/>
                <w:szCs w:val="22"/>
              </w:rPr>
              <w:t>протеза</w:t>
            </w:r>
            <w:proofErr w:type="spellEnd"/>
            <w:r w:rsidRPr="00D41505">
              <w:rPr>
                <w:rFonts w:eastAsia="Arial CYR"/>
                <w:sz w:val="22"/>
                <w:szCs w:val="22"/>
              </w:rPr>
              <w:t xml:space="preserve">: </w:t>
            </w:r>
            <w:proofErr w:type="spellStart"/>
            <w:r w:rsidRPr="00D41505">
              <w:rPr>
                <w:rFonts w:eastAsia="Arial CYR"/>
                <w:sz w:val="22"/>
                <w:szCs w:val="22"/>
              </w:rPr>
              <w:t>любой</w:t>
            </w:r>
            <w:proofErr w:type="spellEnd"/>
            <w:r w:rsidRPr="00D41505">
              <w:rPr>
                <w:rFonts w:eastAsia="Arial CYR"/>
                <w:sz w:val="22"/>
                <w:szCs w:val="22"/>
              </w:rPr>
              <w:t xml:space="preserve">, </w:t>
            </w:r>
            <w:proofErr w:type="spellStart"/>
            <w:r w:rsidRPr="00D41505">
              <w:rPr>
                <w:rFonts w:eastAsia="Arial CYR"/>
                <w:sz w:val="22"/>
                <w:szCs w:val="22"/>
              </w:rPr>
              <w:t>по</w:t>
            </w:r>
            <w:proofErr w:type="spellEnd"/>
            <w:r w:rsidRPr="00D41505">
              <w:rPr>
                <w:rFonts w:eastAsia="Arial CYR"/>
                <w:sz w:val="22"/>
                <w:szCs w:val="22"/>
              </w:rPr>
              <w:t xml:space="preserve"> </w:t>
            </w:r>
            <w:proofErr w:type="spellStart"/>
            <w:r w:rsidRPr="00D41505">
              <w:rPr>
                <w:rFonts w:eastAsia="Arial CYR"/>
                <w:sz w:val="22"/>
                <w:szCs w:val="22"/>
              </w:rPr>
              <w:t>назначению</w:t>
            </w:r>
            <w:proofErr w:type="spellEnd"/>
            <w:r w:rsidRPr="00D41505">
              <w:rPr>
                <w:rFonts w:eastAsia="Arial CYR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61EC8" w:rsidRDefault="00861EC8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C8" w:rsidRPr="003172C3" w:rsidRDefault="00861EC8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C8" w:rsidRPr="003172C3" w:rsidRDefault="00861EC8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голени модульного типа                              </w:t>
            </w:r>
          </w:p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snapToGrid w:val="0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модульного типа.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облицовки: чулки ортопедические перлоновые или силоновые,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3172C3">
              <w:rPr>
                <w:sz w:val="22"/>
                <w:szCs w:val="22"/>
              </w:rPr>
              <w:t>Тип</w:t>
            </w:r>
            <w:proofErr w:type="spellEnd"/>
            <w:r w:rsidRPr="003172C3">
              <w:rPr>
                <w:sz w:val="22"/>
                <w:szCs w:val="22"/>
              </w:rPr>
              <w:t xml:space="preserve"> </w:t>
            </w:r>
            <w:proofErr w:type="spellStart"/>
            <w:r w:rsidRPr="003172C3">
              <w:rPr>
                <w:sz w:val="22"/>
                <w:szCs w:val="22"/>
              </w:rPr>
              <w:t>протеза</w:t>
            </w:r>
            <w:proofErr w:type="spellEnd"/>
            <w:r w:rsidRPr="003172C3">
              <w:rPr>
                <w:sz w:val="22"/>
                <w:szCs w:val="22"/>
              </w:rPr>
              <w:t xml:space="preserve">: </w:t>
            </w:r>
            <w:proofErr w:type="spellStart"/>
            <w:r w:rsidRPr="003172C3">
              <w:rPr>
                <w:sz w:val="22"/>
                <w:szCs w:val="22"/>
              </w:rPr>
              <w:t>постоянный</w:t>
            </w:r>
            <w:proofErr w:type="spellEnd"/>
            <w:r w:rsidRPr="003172C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F976EF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голени для купания модульного типа                </w:t>
            </w:r>
          </w:p>
          <w:p w:rsidR="003172C3" w:rsidRPr="003172C3" w:rsidRDefault="003172C3" w:rsidP="003172C3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1423DB" w:rsidP="003172C3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для купания модульного типа с несущей приемной гильзой из слоистого пластика. Смягчающий вкладной чехол из </w:t>
            </w:r>
            <w:proofErr w:type="spell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пенополиуретана</w:t>
            </w:r>
            <w:proofErr w:type="spell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. Бесшарнирная влагозащищенная стопа с повышенной упругостью в носочной части для инвалидов с низким и средним уровнем двигательной активности; полуфабрикаты рассчитаны на нагрузку до 150 кг, имеют высокую степень </w:t>
            </w:r>
            <w:proofErr w:type="spell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влагозащищенности</w:t>
            </w:r>
            <w:proofErr w:type="spell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, крепление за счет формы гильзы и полимерного наколенника. Протез может быть с немодульной косметической облицовкой из слоистого пластика или без косметической облицовки. Тип протеза: специальный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D2428B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B52E3E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E3E" w:rsidRPr="00E276DE" w:rsidRDefault="00B52E3E" w:rsidP="00725EBB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</w:pPr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 xml:space="preserve">Протез голени для купания модульного типа  </w:t>
            </w:r>
          </w:p>
          <w:p w:rsidR="00B52E3E" w:rsidRPr="00E276DE" w:rsidRDefault="00B52E3E" w:rsidP="00725EBB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DB" w:rsidRPr="001423DB" w:rsidRDefault="001423DB" w:rsidP="001423D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1423DB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>Протез голени модульный для купания с силиконовым чехлом, на короткую и среднюю культю. Влагозащищенная несущая гильза из антисептического материала с молекулами серебра (одна пробная гильза). В качестве вкладного элемента применяется силикон-лайнер с замк</w:t>
            </w:r>
            <w:r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 xml:space="preserve">овым креплением. Стопа </w:t>
            </w:r>
            <w:r w:rsidRPr="001423DB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>влагозащищенная, бесшарнирная,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B52E3E" w:rsidRPr="00E276DE" w:rsidRDefault="001423DB" w:rsidP="001423D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1423DB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lastRenderedPageBreak/>
              <w:t xml:space="preserve">Тип протеза: </w:t>
            </w:r>
            <w:proofErr w:type="spellStart"/>
            <w:r w:rsidRPr="001423DB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>специальный.</w:t>
            </w:r>
            <w:r w:rsidR="00B52E3E" w:rsidRPr="00E276DE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>Тип</w:t>
            </w:r>
            <w:proofErr w:type="spellEnd"/>
            <w:r w:rsidR="00B52E3E" w:rsidRPr="00E276DE"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  <w:t xml:space="preserve"> протеза: специальный.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52E3E" w:rsidRDefault="00B52E3E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3E" w:rsidRPr="003172C3" w:rsidRDefault="00B52E3E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E3E" w:rsidRPr="003172C3" w:rsidRDefault="00B52E3E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DB" w:rsidRPr="001423DB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 для пациентов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ортопедические перлоновые.  Приёмная гильза индивидуальная (одна пробная гильза). Материал индивидуальной постоянной гильзы: литьевой слоистый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пластик  на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основе  акриловых смол.  Допускается применение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вкладных  гильз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3172C3" w:rsidRPr="003172C3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Тип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протеза:  постоянный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F25786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DB" w:rsidRPr="001423DB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перлоновые.  Приёмная гильза индивидуальная (одна пробная гильза). Материал индивидуальной постоянной гильзы: литьевой слоистый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пластик  на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основе  акриловых смол.  Допускается применение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вкладных  гильз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3172C3" w:rsidRPr="003172C3" w:rsidRDefault="001423DB" w:rsidP="001423DB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1423DB">
              <w:rPr>
                <w:kern w:val="3"/>
                <w:sz w:val="22"/>
                <w:szCs w:val="22"/>
                <w:lang w:val="ru-RU" w:eastAsia="ru-RU"/>
              </w:rPr>
              <w:t xml:space="preserve">Тип </w:t>
            </w:r>
            <w:proofErr w:type="gramStart"/>
            <w:r w:rsidRPr="001423DB">
              <w:rPr>
                <w:kern w:val="3"/>
                <w:sz w:val="22"/>
                <w:szCs w:val="22"/>
                <w:lang w:val="ru-RU" w:eastAsia="ru-RU"/>
              </w:rPr>
              <w:t>протеза:  постоянный</w:t>
            </w:r>
            <w:proofErr w:type="gramEnd"/>
            <w:r w:rsidRPr="001423DB">
              <w:rPr>
                <w:kern w:val="3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285040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rPr>
          <w:trHeight w:val="263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3172C3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 с силикон-лайнером. Формообразующая часть косметической облицовки: модульная мягкая полиуретановая или листовой поролон. Косметическое покрытие облицовки: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замкового устройства для полимерных чехлов.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Модульный коленный шарнир с тормозным механизмом, одноосный с толкателем и защитным чехлом </w:t>
            </w:r>
            <w:r w:rsidRPr="003172C3">
              <w:rPr>
                <w:kern w:val="3"/>
                <w:sz w:val="22"/>
                <w:szCs w:val="22"/>
                <w:lang w:val="ru-RU" w:eastAsia="ru-RU"/>
              </w:rPr>
              <w:lastRenderedPageBreak/>
              <w:t>обеспечивающий устойчивость в фазе опоры или коленный шарнир полицентрический с «геометрическим замком» с зависимым механическим регулированием фаз сгибания-разгибания, обеспечивающий устойчивость в фазе опоры. Регулировочно-соединительные устройства должны соответствовать весу инвалида. Тип протеза: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3172C3" w:rsidP="003172C3">
            <w:pPr>
              <w:jc w:val="center"/>
              <w:rPr>
                <w:sz w:val="22"/>
                <w:szCs w:val="22"/>
                <w:lang w:val="ru-RU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lastRenderedPageBreak/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3172C3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модульный, пневматический к\м.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вкладных гильз из вспененных материалов. Крепление протеза поясное или вакуумное с использованием бандажа. Регулировочно-соединительные устройства должны соответствовать весу инвалида.  Стопа средней степенью энергосбережения с пружинными элементами, обеспечивающими физиологичный перекат и отдачу накопленной энергии.  Коленный шарнир полицентрический с «геометрическим замком», с независимым пневматическим регулированием фаз сгибания-разгибания или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0246F6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172C3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72C3" w:rsidRPr="003172C3" w:rsidRDefault="003172C3" w:rsidP="003172C3">
            <w:pPr>
              <w:suppressAutoHyphens w:val="0"/>
              <w:jc w:val="center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  <w:r w:rsidRPr="003172C3">
              <w:rPr>
                <w:sz w:val="22"/>
                <w:szCs w:val="22"/>
                <w:lang w:val="ru-RU"/>
              </w:rPr>
              <w:t xml:space="preserve">Протез бедра модульного типа                                      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C3" w:rsidRPr="003172C3" w:rsidRDefault="003172C3" w:rsidP="003172C3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3172C3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 с силиконовым чехлом на среднюю и короткую культю, пневматический к\м.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 из </w:t>
            </w:r>
            <w:proofErr w:type="spellStart"/>
            <w:r w:rsidRPr="003172C3">
              <w:rPr>
                <w:kern w:val="3"/>
                <w:sz w:val="22"/>
                <w:szCs w:val="22"/>
                <w:lang w:val="ru-RU" w:eastAsia="ru-RU"/>
              </w:rPr>
              <w:t>термолина</w:t>
            </w:r>
            <w:proofErr w:type="spellEnd"/>
            <w:r w:rsidRPr="003172C3">
              <w:rPr>
                <w:kern w:val="3"/>
                <w:sz w:val="22"/>
                <w:szCs w:val="22"/>
                <w:lang w:val="ru-RU" w:eastAsia="ru-RU"/>
              </w:rPr>
              <w:t xml:space="preserve">). Материал индивидуальной постоянной гильзы: литьевой слоистый пластик на основе акриловых смол, листовой термопластичный пластик,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замка для полимерных чехлов. Регулировочно-соединительные 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полицентрический с «геометрическим замком», с независимым пневматическим регулированием фаз сгибания-разгибания или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3172C3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3172C3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72C3" w:rsidRPr="003172C3" w:rsidRDefault="00E237B2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C3" w:rsidRPr="003172C3" w:rsidRDefault="003172C3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875C1D" w:rsidRPr="003172C3" w:rsidTr="006F469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5C1D" w:rsidRPr="00E276DE" w:rsidRDefault="00875C1D" w:rsidP="00725EBB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</w:pPr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lastRenderedPageBreak/>
              <w:t>Протез бедра модульного типа</w:t>
            </w:r>
          </w:p>
          <w:p w:rsidR="00875C1D" w:rsidRPr="00E276DE" w:rsidRDefault="00875C1D" w:rsidP="00725EBB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C1D" w:rsidRPr="00E276DE" w:rsidRDefault="00875C1D" w:rsidP="00725EB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color w:val="auto"/>
                <w:kern w:val="3"/>
                <w:sz w:val="22"/>
                <w:szCs w:val="22"/>
                <w:lang w:val="ru-RU" w:eastAsia="ru-RU" w:bidi="ar-SA"/>
              </w:rPr>
            </w:pPr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 xml:space="preserve">Протез бедра модульный, гидравлический к/м.  Формообразующая часть косметической облицовки:  модульная, мягкая, полиуретановая. Косметическое покрытие облицовки: чулки ортопедические перлоновые или силоновые, допускается покрытие защитное плёночное.  Приёмная гильза индивидуальная (одна пробная гильза из </w:t>
            </w:r>
            <w:proofErr w:type="spellStart"/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>термолина</w:t>
            </w:r>
            <w:proofErr w:type="spellEnd"/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 xml:space="preserve">),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 и эластичных термопластов (для  скелетированной гильзы).  Крепление  протеза поясное или вакуумное с использованием бандажа. Регулировочно-соединительные устройства должны соответствовать весу инвалида.   Стопа со средним и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для ежедневного пользования. Коленный шарнир моноцентрический с поворотной гидравлической системой, механизмом торможения, отключающимся при </w:t>
            </w:r>
            <w:proofErr w:type="gramStart"/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>переходе  на</w:t>
            </w:r>
            <w:proofErr w:type="gramEnd"/>
            <w:r w:rsidRPr="00E276DE"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ar-SA" w:bidi="ar-SA"/>
              </w:rPr>
              <w:t xml:space="preserve"> передний отдел стопы, с гидравлическим управлением фазы опоры и переноса,  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бесступенчато- регулируемый гидравлический модуль гашения ударных нагрузок. Тип протеза:  постоянный.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75C1D" w:rsidRDefault="007807F2" w:rsidP="003172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875C1D" w:rsidRPr="003172C3" w:rsidTr="006F469D">
        <w:trPr>
          <w:trHeight w:val="400"/>
        </w:trPr>
        <w:tc>
          <w:tcPr>
            <w:tcW w:w="7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 w:rsidRPr="003172C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875C1D" w:rsidRPr="003172C3" w:rsidRDefault="00875C1D" w:rsidP="003172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C1D" w:rsidRPr="003172C3" w:rsidRDefault="00875C1D" w:rsidP="003172C3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243A12" w:rsidRPr="001A049E" w:rsidRDefault="00243A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соответствовать Национальным стандартом Российской Федерации ГОСТ Р 51632-2014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 Общие 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Узлы протезов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</w:t>
      </w:r>
      <w:r w:rsidR="00B5651B">
        <w:rPr>
          <w:rFonts w:eastAsia="Times New Roman" w:cs="Times New Roman"/>
          <w:color w:val="auto"/>
          <w:kern w:val="0"/>
          <w:lang w:val="ru-RU" w:eastAsia="ar-SA" w:bidi="ar-SA"/>
        </w:rPr>
        <w:t>нижних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243A12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эксплуатацию:</w:t>
      </w:r>
    </w:p>
    <w:p w:rsidR="002E66F4" w:rsidRPr="00F91D7B" w:rsidRDefault="002E66F4" w:rsidP="00F67819">
      <w:pPr>
        <w:widowControl w:val="0"/>
        <w:suppressAutoHyphens w:val="0"/>
        <w:ind w:firstLine="567"/>
        <w:jc w:val="both"/>
        <w:rPr>
          <w:rFonts w:cs="Times New Roman"/>
          <w:color w:val="auto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- на протезы нижних конечностей немодульного типа не менее </w:t>
      </w:r>
      <w:r w:rsidR="00F91D7B" w:rsidRPr="00F91D7B">
        <w:rPr>
          <w:rFonts w:cs="Times New Roman"/>
          <w:color w:val="auto"/>
          <w:kern w:val="0"/>
          <w:lang w:val="ru-RU"/>
        </w:rPr>
        <w:t>7</w:t>
      </w:r>
      <w:r w:rsidRPr="00F91D7B">
        <w:rPr>
          <w:rFonts w:cs="Times New Roman"/>
          <w:color w:val="auto"/>
          <w:kern w:val="0"/>
          <w:lang w:val="ru-RU"/>
        </w:rPr>
        <w:t xml:space="preserve"> месяцев.</w:t>
      </w:r>
    </w:p>
    <w:p w:rsidR="00243A12" w:rsidRPr="007C08CC" w:rsidRDefault="00243A12" w:rsidP="00F67819">
      <w:pPr>
        <w:widowControl w:val="0"/>
        <w:suppressAutoHyphens w:val="0"/>
        <w:ind w:left="72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-</w:t>
      </w:r>
      <w:r w:rsidRPr="007C08CC">
        <w:rPr>
          <w:rFonts w:cs="Times New Roman"/>
          <w:kern w:val="0"/>
        </w:rPr>
        <w:t> </w:t>
      </w:r>
      <w:r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инвалидами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информирование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инвалидов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2F34FA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="001D1514" w:rsidRPr="00E276DE">
        <w:rPr>
          <w:rFonts w:cs="Times New Roman"/>
          <w:color w:val="auto"/>
          <w:lang w:val="ru-RU" w:bidi="ar-SA"/>
        </w:rPr>
        <w:t>с даты подписания Контракта до 01.</w:t>
      </w:r>
      <w:r w:rsidR="00DC49A5">
        <w:rPr>
          <w:rFonts w:cs="Times New Roman"/>
          <w:color w:val="auto"/>
          <w:lang w:val="ru-RU" w:bidi="ar-SA"/>
        </w:rPr>
        <w:t>12</w:t>
      </w:r>
      <w:r w:rsidR="001D1514" w:rsidRPr="00E276DE">
        <w:rPr>
          <w:rFonts w:cs="Times New Roman"/>
          <w:color w:val="auto"/>
          <w:lang w:val="ru-RU" w:bidi="ar-SA"/>
        </w:rPr>
        <w:t>.201</w:t>
      </w:r>
      <w:r w:rsidR="001D1514">
        <w:rPr>
          <w:rFonts w:cs="Times New Roman"/>
          <w:color w:val="auto"/>
          <w:lang w:val="ru-RU" w:bidi="ar-SA"/>
        </w:rPr>
        <w:t>9</w:t>
      </w:r>
      <w:r w:rsidR="001D1514" w:rsidRPr="00E276DE">
        <w:rPr>
          <w:rFonts w:cs="Times New Roman"/>
          <w:color w:val="auto"/>
          <w:lang w:val="ru-RU" w:bidi="ar-SA"/>
        </w:rPr>
        <w:t xml:space="preserve"> года должно быть изготовлено – 100% изделий, не более 45 дней с даты обращения инвалида, ветерана к Исполнителю с направлением, выданным Заказчиком</w:t>
      </w: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p w:rsidR="00772A70" w:rsidRPr="00230BC4" w:rsidRDefault="00772A70" w:rsidP="00327714">
      <w:pPr>
        <w:rPr>
          <w:lang w:val="ru-RU"/>
        </w:rPr>
      </w:pPr>
    </w:p>
    <w:sectPr w:rsidR="00772A70" w:rsidRPr="00230BC4" w:rsidSect="0061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46F6"/>
    <w:rsid w:val="00025CF0"/>
    <w:rsid w:val="00031192"/>
    <w:rsid w:val="00036809"/>
    <w:rsid w:val="00060C76"/>
    <w:rsid w:val="000A0975"/>
    <w:rsid w:val="000A2149"/>
    <w:rsid w:val="000B0A4A"/>
    <w:rsid w:val="000B4453"/>
    <w:rsid w:val="000D12FA"/>
    <w:rsid w:val="000E2526"/>
    <w:rsid w:val="000F60FE"/>
    <w:rsid w:val="001205D2"/>
    <w:rsid w:val="00122A28"/>
    <w:rsid w:val="001423DB"/>
    <w:rsid w:val="00153441"/>
    <w:rsid w:val="0017347A"/>
    <w:rsid w:val="0018403F"/>
    <w:rsid w:val="00195450"/>
    <w:rsid w:val="00195AC3"/>
    <w:rsid w:val="001A049E"/>
    <w:rsid w:val="001A40D4"/>
    <w:rsid w:val="001D1514"/>
    <w:rsid w:val="001E1378"/>
    <w:rsid w:val="001E5724"/>
    <w:rsid w:val="001E7264"/>
    <w:rsid w:val="001F6858"/>
    <w:rsid w:val="00202A63"/>
    <w:rsid w:val="00202FF6"/>
    <w:rsid w:val="00230BC4"/>
    <w:rsid w:val="00240B8F"/>
    <w:rsid w:val="00243A12"/>
    <w:rsid w:val="002570A6"/>
    <w:rsid w:val="002604CB"/>
    <w:rsid w:val="00265AE4"/>
    <w:rsid w:val="002807AB"/>
    <w:rsid w:val="00282C0C"/>
    <w:rsid w:val="00285040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14A72"/>
    <w:rsid w:val="003172C3"/>
    <w:rsid w:val="00327714"/>
    <w:rsid w:val="00334D89"/>
    <w:rsid w:val="00335048"/>
    <w:rsid w:val="00354281"/>
    <w:rsid w:val="00365C06"/>
    <w:rsid w:val="003B574E"/>
    <w:rsid w:val="003B7316"/>
    <w:rsid w:val="003C0028"/>
    <w:rsid w:val="003D5420"/>
    <w:rsid w:val="003D5653"/>
    <w:rsid w:val="003F524C"/>
    <w:rsid w:val="0041078D"/>
    <w:rsid w:val="00411ACF"/>
    <w:rsid w:val="004376FD"/>
    <w:rsid w:val="00447EDE"/>
    <w:rsid w:val="004537D0"/>
    <w:rsid w:val="0047318F"/>
    <w:rsid w:val="00475A1A"/>
    <w:rsid w:val="00480EDA"/>
    <w:rsid w:val="004928DA"/>
    <w:rsid w:val="00497128"/>
    <w:rsid w:val="004A53A8"/>
    <w:rsid w:val="004B76F1"/>
    <w:rsid w:val="004D0E24"/>
    <w:rsid w:val="00523985"/>
    <w:rsid w:val="005C2137"/>
    <w:rsid w:val="005D7D0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807F2"/>
    <w:rsid w:val="00790517"/>
    <w:rsid w:val="007B2A21"/>
    <w:rsid w:val="007B45F3"/>
    <w:rsid w:val="007C08CC"/>
    <w:rsid w:val="007C5601"/>
    <w:rsid w:val="0082780C"/>
    <w:rsid w:val="00827FBD"/>
    <w:rsid w:val="00841F0B"/>
    <w:rsid w:val="00861EC8"/>
    <w:rsid w:val="00867B3C"/>
    <w:rsid w:val="008743DA"/>
    <w:rsid w:val="00875C1D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4447"/>
    <w:rsid w:val="00A36878"/>
    <w:rsid w:val="00A4630E"/>
    <w:rsid w:val="00A5416A"/>
    <w:rsid w:val="00AC0CAA"/>
    <w:rsid w:val="00AE0A31"/>
    <w:rsid w:val="00AE29EC"/>
    <w:rsid w:val="00AE7588"/>
    <w:rsid w:val="00AE7614"/>
    <w:rsid w:val="00B00E9F"/>
    <w:rsid w:val="00B11D2B"/>
    <w:rsid w:val="00B23545"/>
    <w:rsid w:val="00B44701"/>
    <w:rsid w:val="00B52E3E"/>
    <w:rsid w:val="00B5651B"/>
    <w:rsid w:val="00B76554"/>
    <w:rsid w:val="00B83C8D"/>
    <w:rsid w:val="00B9096B"/>
    <w:rsid w:val="00B92098"/>
    <w:rsid w:val="00C118C6"/>
    <w:rsid w:val="00C15E29"/>
    <w:rsid w:val="00C20CA9"/>
    <w:rsid w:val="00C6127B"/>
    <w:rsid w:val="00C61371"/>
    <w:rsid w:val="00C86AB7"/>
    <w:rsid w:val="00CA18BA"/>
    <w:rsid w:val="00CA685E"/>
    <w:rsid w:val="00CB0E38"/>
    <w:rsid w:val="00CB3B66"/>
    <w:rsid w:val="00CC45FD"/>
    <w:rsid w:val="00CF2163"/>
    <w:rsid w:val="00D021C9"/>
    <w:rsid w:val="00D047A9"/>
    <w:rsid w:val="00D15DD4"/>
    <w:rsid w:val="00D2428B"/>
    <w:rsid w:val="00D4394F"/>
    <w:rsid w:val="00D77B70"/>
    <w:rsid w:val="00DA7E89"/>
    <w:rsid w:val="00DB1721"/>
    <w:rsid w:val="00DB42F7"/>
    <w:rsid w:val="00DB67FF"/>
    <w:rsid w:val="00DC49A5"/>
    <w:rsid w:val="00DC6E3D"/>
    <w:rsid w:val="00DF4ED5"/>
    <w:rsid w:val="00DF6369"/>
    <w:rsid w:val="00E237B2"/>
    <w:rsid w:val="00E24AB4"/>
    <w:rsid w:val="00E37947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13849"/>
    <w:rsid w:val="00F25786"/>
    <w:rsid w:val="00F67819"/>
    <w:rsid w:val="00F91D7B"/>
    <w:rsid w:val="00F9620E"/>
    <w:rsid w:val="00F976EF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25B7-3D13-4E4C-A72B-874B744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51C8-3C3A-4A5C-8FBA-F387AC1A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Сафронова Евгения Валентиновна</cp:lastModifiedBy>
  <cp:revision>61</cp:revision>
  <cp:lastPrinted>2018-12-20T00:44:00Z</cp:lastPrinted>
  <dcterms:created xsi:type="dcterms:W3CDTF">2017-12-26T00:25:00Z</dcterms:created>
  <dcterms:modified xsi:type="dcterms:W3CDTF">2018-12-24T00:20:00Z</dcterms:modified>
</cp:coreProperties>
</file>